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99" w:rsidRDefault="00A30399" w:rsidP="009C0503">
      <w:pPr>
        <w:pStyle w:val="Cm"/>
        <w:tabs>
          <w:tab w:val="left" w:pos="2552"/>
          <w:tab w:val="left" w:pos="3686"/>
        </w:tabs>
        <w:spacing w:before="0" w:after="40"/>
        <w:rPr>
          <w:rFonts w:ascii="Tahoma" w:hAnsi="Tahoma"/>
          <w:b/>
          <w:spacing w:val="28"/>
          <w:sz w:val="32"/>
        </w:rPr>
      </w:pPr>
      <w:r>
        <w:rPr>
          <w:rFonts w:ascii="Tahoma" w:hAnsi="Tahoma"/>
          <w:b/>
          <w:spacing w:val="28"/>
          <w:sz w:val="32"/>
        </w:rPr>
        <w:t>BIZTONSÁGI ADATLAP</w:t>
      </w:r>
    </w:p>
    <w:p w:rsidR="00A30399" w:rsidRDefault="00A30399" w:rsidP="005301DC">
      <w:pPr>
        <w:pStyle w:val="Cm"/>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A30399" w:rsidRDefault="00A3039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A30399" w:rsidRDefault="00A30399" w:rsidP="009C0503">
      <w:pPr>
        <w:tabs>
          <w:tab w:val="left" w:pos="2410"/>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snapToGrid w:val="0"/>
          <w:sz w:val="28"/>
          <w:szCs w:val="28"/>
        </w:rPr>
        <w:t>Lorin folyékony szappan – Antistress</w:t>
      </w:r>
    </w:p>
    <w:p w:rsidR="00A30399" w:rsidRPr="00683C20" w:rsidRDefault="00A30399" w:rsidP="00376BF5">
      <w:pPr>
        <w:tabs>
          <w:tab w:val="left" w:pos="3402"/>
          <w:tab w:val="center" w:pos="4536"/>
        </w:tabs>
        <w:spacing w:before="120"/>
        <w:rPr>
          <w:rFonts w:ascii="Tahoma" w:hAnsi="Tahoma" w:cs="Tahoma"/>
          <w:snapToGrid w:val="0"/>
        </w:rPr>
      </w:pPr>
      <w:r w:rsidRPr="00683C20">
        <w:rPr>
          <w:rFonts w:ascii="Tahoma" w:hAnsi="Tahoma" w:cs="Simplified Arabic Fixed"/>
          <w:b/>
          <w:snapToGrid w:val="0"/>
        </w:rPr>
        <w:t>1.2. Azonosított felhasználás:</w:t>
      </w:r>
      <w:r>
        <w:rPr>
          <w:rFonts w:ascii="Tahoma" w:hAnsi="Tahoma" w:cs="Simplified Arabic Fixed"/>
          <w:b/>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A30399" w:rsidRPr="00623045" w:rsidRDefault="00A30399" w:rsidP="00E709EB">
      <w:pPr>
        <w:tabs>
          <w:tab w:val="left" w:pos="426"/>
          <w:tab w:val="center" w:pos="4536"/>
        </w:tabs>
        <w:spacing w:before="4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A30399" w:rsidRDefault="00A30399"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A30399" w:rsidRPr="0008511E" w:rsidRDefault="00A30399" w:rsidP="00E709EB">
      <w:pPr>
        <w:spacing w:before="40"/>
        <w:ind w:left="425"/>
        <w:rPr>
          <w:rFonts w:ascii="Tahoma" w:hAnsi="Tahoma" w:cs="Tahoma"/>
          <w:b/>
        </w:rPr>
      </w:pPr>
      <w:r w:rsidRPr="0008511E">
        <w:rPr>
          <w:rFonts w:ascii="Tahoma" w:hAnsi="Tahoma" w:cs="Tahoma"/>
          <w:b/>
        </w:rPr>
        <w:t>GIRONDE Kozmetikai és Háztartás-vegyipari Termékeket Gyártó és Forgalmazó Kft.</w:t>
      </w:r>
    </w:p>
    <w:p w:rsidR="00A30399" w:rsidRPr="0008511E" w:rsidRDefault="00A30399" w:rsidP="005C50EE">
      <w:pPr>
        <w:tabs>
          <w:tab w:val="left" w:pos="1985"/>
        </w:tabs>
        <w:ind w:left="426"/>
        <w:rPr>
          <w:rFonts w:ascii="Tahoma" w:hAnsi="Tahoma" w:cs="Tahoma"/>
        </w:rPr>
      </w:pPr>
      <w:r w:rsidRPr="0008511E">
        <w:rPr>
          <w:rFonts w:ascii="Tahoma" w:hAnsi="Tahoma" w:cs="Tahoma"/>
        </w:rPr>
        <w:t>H-3333 Terpes, Petőfi út 2 – 4.</w:t>
      </w:r>
    </w:p>
    <w:p w:rsidR="00A30399" w:rsidRDefault="00A30399"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A30399" w:rsidRPr="0008511E" w:rsidRDefault="00A30399" w:rsidP="005C50EE">
      <w:pPr>
        <w:tabs>
          <w:tab w:val="left" w:pos="1985"/>
        </w:tabs>
        <w:ind w:left="426"/>
        <w:rPr>
          <w:rFonts w:ascii="Tahoma" w:hAnsi="Tahoma" w:cs="Tahoma"/>
        </w:rPr>
      </w:pPr>
      <w:r>
        <w:rPr>
          <w:rFonts w:ascii="Tahoma" w:hAnsi="Tahoma" w:cs="Tahoma"/>
        </w:rPr>
        <w:t>honlap: www.gironde.hu</w:t>
      </w:r>
    </w:p>
    <w:p w:rsidR="00A30399" w:rsidRDefault="00A30399"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A30399" w:rsidRPr="004D5835" w:rsidRDefault="00A30399" w:rsidP="005C50EE">
      <w:pPr>
        <w:tabs>
          <w:tab w:val="left" w:pos="2268"/>
          <w:tab w:val="right" w:pos="9214"/>
        </w:tabs>
        <w:spacing w:before="8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A30399" w:rsidRDefault="00A30399"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A30399" w:rsidRDefault="00A30399"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A30399" w:rsidRDefault="00A3039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A30399" w:rsidRDefault="00A30399" w:rsidP="00EB1FAD">
      <w:pPr>
        <w:tabs>
          <w:tab w:val="left" w:pos="2552"/>
        </w:tabs>
        <w:jc w:val="both"/>
        <w:rPr>
          <w:rFonts w:ascii="Tahoma" w:hAnsi="Tahoma" w:cs="Tahoma"/>
          <w:b/>
          <w:snapToGrid w:val="0"/>
        </w:rPr>
      </w:pPr>
      <w:r w:rsidRPr="00345EBD">
        <w:rPr>
          <w:rFonts w:ascii="Tahoma" w:hAnsi="Tahoma" w:cs="Tahoma"/>
          <w:b/>
          <w:snapToGrid w:val="0"/>
        </w:rPr>
        <w:t xml:space="preserve">2.1. A keverék </w:t>
      </w:r>
      <w:r>
        <w:rPr>
          <w:rFonts w:ascii="Tahoma" w:hAnsi="Tahoma" w:cs="Tahoma"/>
          <w:b/>
          <w:snapToGrid w:val="0"/>
        </w:rPr>
        <w:t>osztályozása</w:t>
      </w:r>
    </w:p>
    <w:p w:rsidR="00A30399" w:rsidRPr="00247CD2" w:rsidRDefault="00A30399" w:rsidP="00EB1FAD">
      <w:pPr>
        <w:tabs>
          <w:tab w:val="left" w:pos="2552"/>
        </w:tabs>
        <w:jc w:val="both"/>
        <w:rPr>
          <w:rFonts w:ascii="Tahoma" w:hAnsi="Tahoma" w:cs="Tahoma"/>
        </w:rPr>
      </w:pPr>
      <w:r w:rsidRPr="003654D3">
        <w:rPr>
          <w:rFonts w:ascii="Tahoma" w:hAnsi="Tahoma" w:cs="Tahoma"/>
          <w:snapToGrid w:val="0"/>
        </w:rPr>
        <w:t>A termékre sem a DPD (</w:t>
      </w:r>
      <w:r w:rsidRPr="003654D3">
        <w:rPr>
          <w:rFonts w:ascii="Tahoma" w:hAnsi="Tahoma" w:cs="Tahoma"/>
        </w:rPr>
        <w:t xml:space="preserve">Dangerous Product Directive: </w:t>
      </w:r>
      <w:r w:rsidRPr="003654D3">
        <w:rPr>
          <w:rFonts w:ascii="Tahoma" w:hAnsi="Tahoma" w:cs="Tahoma"/>
          <w:snapToGrid w:val="0"/>
        </w:rPr>
        <w:t xml:space="preserve">1999/45/EK irányelv és módosításai ), sem a </w:t>
      </w:r>
      <w:r>
        <w:rPr>
          <w:rFonts w:ascii="Tahoma" w:hAnsi="Tahoma" w:cs="Tahoma"/>
          <w:snapToGrid w:val="0"/>
        </w:rPr>
        <w:br/>
      </w:r>
      <w:r w:rsidRPr="003654D3">
        <w:rPr>
          <w:rFonts w:ascii="Tahoma" w:hAnsi="Tahoma" w:cs="Tahoma"/>
          <w:snapToGrid w:val="0"/>
        </w:rPr>
        <w:t>CLP</w:t>
      </w:r>
      <w:r w:rsidRPr="00EB1FAD">
        <w:rPr>
          <w:rFonts w:ascii="Tahoma" w:hAnsi="Tahoma" w:cs="Tahoma"/>
          <w:snapToGrid w:val="0"/>
        </w:rPr>
        <w:t xml:space="preserve"> (</w:t>
      </w:r>
      <w:r w:rsidRPr="00EB1FAD">
        <w:rPr>
          <w:rFonts w:ascii="Tahoma" w:hAnsi="Tahoma" w:cs="Tahoma"/>
        </w:rPr>
        <w:t>Classification, Labelling and Packaging: 1272/2008/EK rendelet és módosításai</w:t>
      </w:r>
      <w:r w:rsidRPr="00EB1FAD">
        <w:rPr>
          <w:rFonts w:ascii="Tahoma" w:hAnsi="Tahoma" w:cs="Tahoma"/>
          <w:snapToGrid w:val="0"/>
        </w:rPr>
        <w:t xml:space="preserve">) osztályozási kritériumai nem vonatkoznak, </w:t>
      </w:r>
      <w:r w:rsidRPr="00EB1FAD">
        <w:rPr>
          <w:rFonts w:ascii="Tahoma" w:hAnsi="Tahoma" w:cs="Tahoma"/>
          <w:b/>
          <w:snapToGrid w:val="0"/>
        </w:rPr>
        <w:t>mivel funkciójából következően kozmetikum</w:t>
      </w:r>
      <w:r>
        <w:rPr>
          <w:rFonts w:ascii="Tahoma" w:hAnsi="Tahoma" w:cs="Tahoma"/>
          <w:b/>
          <w:snapToGrid w:val="0"/>
        </w:rPr>
        <w:t xml:space="preserve">, </w:t>
      </w:r>
      <w:r>
        <w:rPr>
          <w:rFonts w:ascii="Tahoma" w:hAnsi="Tahoma" w:cs="Tahoma"/>
          <w:snapToGrid w:val="0"/>
        </w:rPr>
        <w:t xml:space="preserve">lásd a </w:t>
      </w:r>
      <w:r w:rsidRPr="00247CD2">
        <w:rPr>
          <w:rFonts w:ascii="Tahoma" w:hAnsi="Tahoma" w:cs="Tahoma"/>
          <w:snapToGrid w:val="0"/>
        </w:rPr>
        <w:t xml:space="preserve">1272/2008/EK </w:t>
      </w:r>
      <w:r>
        <w:rPr>
          <w:rFonts w:ascii="Tahoma" w:hAnsi="Tahoma" w:cs="Tahoma"/>
          <w:snapToGrid w:val="0"/>
        </w:rPr>
        <w:br/>
      </w:r>
      <w:r w:rsidRPr="00247CD2">
        <w:rPr>
          <w:rFonts w:ascii="Tahoma" w:hAnsi="Tahoma" w:cs="Tahoma"/>
          <w:snapToGrid w:val="0"/>
        </w:rPr>
        <w:t>1</w:t>
      </w:r>
      <w:r>
        <w:rPr>
          <w:rFonts w:ascii="Tahoma" w:hAnsi="Tahoma" w:cs="Tahoma"/>
          <w:snapToGrid w:val="0"/>
        </w:rPr>
        <w:t>.</w:t>
      </w:r>
      <w:r w:rsidRPr="00247CD2">
        <w:rPr>
          <w:rFonts w:ascii="Tahoma" w:hAnsi="Tahoma" w:cs="Tahoma"/>
          <w:snapToGrid w:val="0"/>
        </w:rPr>
        <w:t xml:space="preserve"> cikk (5) bekezdés</w:t>
      </w:r>
      <w:r>
        <w:rPr>
          <w:rFonts w:ascii="Tahoma" w:hAnsi="Tahoma" w:cs="Tahoma"/>
          <w:snapToGrid w:val="0"/>
        </w:rPr>
        <w:t>e</w:t>
      </w:r>
      <w:r w:rsidRPr="00247CD2">
        <w:rPr>
          <w:rFonts w:ascii="Tahoma" w:hAnsi="Tahoma" w:cs="Tahoma"/>
          <w:snapToGrid w:val="0"/>
        </w:rPr>
        <w:t xml:space="preserve">, miszerint a </w:t>
      </w:r>
      <w:r>
        <w:rPr>
          <w:rFonts w:ascii="Tahoma" w:hAnsi="Tahoma" w:cs="Tahoma"/>
          <w:snapToGrid w:val="0"/>
        </w:rPr>
        <w:t xml:space="preserve">rendelet </w:t>
      </w:r>
      <w:r w:rsidRPr="00247CD2">
        <w:rPr>
          <w:rFonts w:ascii="Tahoma" w:hAnsi="Tahoma" w:cs="Tahoma"/>
          <w:snapToGrid w:val="0"/>
        </w:rPr>
        <w:t>nem alkalmazandó a végfelhasználóknak szánt, készárucikknek min</w:t>
      </w:r>
      <w:r>
        <w:rPr>
          <w:rFonts w:ascii="Tahoma" w:hAnsi="Tahoma" w:cs="Tahoma"/>
          <w:snapToGrid w:val="0"/>
        </w:rPr>
        <w:t>ő</w:t>
      </w:r>
      <w:r w:rsidRPr="00247CD2">
        <w:rPr>
          <w:rFonts w:ascii="Tahoma" w:hAnsi="Tahoma" w:cs="Tahoma"/>
          <w:snapToGrid w:val="0"/>
        </w:rPr>
        <w:t xml:space="preserve">sülő kozmetikai termékekre. </w:t>
      </w:r>
    </w:p>
    <w:p w:rsidR="00A30399" w:rsidRPr="003654D3" w:rsidRDefault="00A30399" w:rsidP="00376BF5">
      <w:pPr>
        <w:tabs>
          <w:tab w:val="left" w:pos="2552"/>
        </w:tabs>
        <w:spacing w:before="120"/>
        <w:jc w:val="both"/>
        <w:rPr>
          <w:rFonts w:ascii="Tahoma" w:hAnsi="Tahoma" w:cs="Tahoma"/>
          <w:b/>
        </w:rPr>
      </w:pPr>
      <w:r w:rsidRPr="003654D3">
        <w:rPr>
          <w:rFonts w:ascii="Tahoma" w:hAnsi="Tahoma" w:cs="Tahoma"/>
          <w:b/>
        </w:rPr>
        <w:t>A termék kozmetikum</w:t>
      </w:r>
      <w:r>
        <w:rPr>
          <w:rFonts w:ascii="Tahoma" w:hAnsi="Tahoma" w:cs="Tahoma"/>
          <w:b/>
        </w:rPr>
        <w:t>,</w:t>
      </w:r>
      <w:r w:rsidRPr="003654D3">
        <w:rPr>
          <w:rFonts w:ascii="Tahoma" w:hAnsi="Tahoma" w:cs="Tahoma"/>
          <w:b/>
        </w:rPr>
        <w:t xml:space="preserve"> megfelel 1223/2009/EK rendelet előírásainak</w:t>
      </w:r>
      <w:r>
        <w:rPr>
          <w:rFonts w:ascii="Tahoma" w:hAnsi="Tahoma" w:cs="Tahoma"/>
          <w:b/>
        </w:rPr>
        <w:t>;</w:t>
      </w:r>
      <w:r w:rsidRPr="003654D3">
        <w:rPr>
          <w:rFonts w:ascii="Tahoma" w:hAnsi="Tahoma" w:cs="Tahoma"/>
          <w:b/>
        </w:rPr>
        <w:t xml:space="preserve"> nem veszélyes keverékként kezel</w:t>
      </w:r>
      <w:r>
        <w:rPr>
          <w:rFonts w:ascii="Tahoma" w:hAnsi="Tahoma" w:cs="Tahoma"/>
          <w:b/>
        </w:rPr>
        <w:t>hető</w:t>
      </w:r>
      <w:r w:rsidRPr="003654D3">
        <w:rPr>
          <w:rFonts w:ascii="Tahoma" w:hAnsi="Tahoma" w:cs="Tahoma"/>
          <w:b/>
        </w:rPr>
        <w:t>.</w:t>
      </w:r>
    </w:p>
    <w:p w:rsidR="00A30399" w:rsidRPr="00683C20" w:rsidRDefault="00A30399" w:rsidP="00BE341E">
      <w:pPr>
        <w:tabs>
          <w:tab w:val="left" w:pos="2552"/>
        </w:tabs>
        <w:spacing w:before="120"/>
        <w:rPr>
          <w:rFonts w:ascii="Tahoma" w:hAnsi="Tahoma" w:cs="Tahoma"/>
          <w:b/>
          <w:snapToGrid w:val="0"/>
        </w:rPr>
      </w:pPr>
      <w:r w:rsidRPr="00683C20">
        <w:rPr>
          <w:rFonts w:ascii="Tahoma" w:hAnsi="Tahoma" w:cs="Tahoma"/>
          <w:b/>
          <w:snapToGrid w:val="0"/>
        </w:rPr>
        <w:t>2.2. Címkézési elemek</w:t>
      </w:r>
    </w:p>
    <w:p w:rsidR="00A30399" w:rsidRDefault="00A30399" w:rsidP="00EB1FAD">
      <w:pPr>
        <w:pStyle w:val="Szvegtrzsbehzssal"/>
        <w:spacing w:after="60"/>
        <w:ind w:left="0"/>
        <w:rPr>
          <w:rFonts w:cs="Tahoma"/>
        </w:rPr>
      </w:pPr>
      <w:r>
        <w:rPr>
          <w:rFonts w:cs="Tahoma"/>
        </w:rPr>
        <w:t>Piktogram, figyelmeztetés, H- és P- mondat: nem szükséges.</w:t>
      </w:r>
    </w:p>
    <w:p w:rsidR="00A30399" w:rsidRPr="00A17E51" w:rsidRDefault="00A30399" w:rsidP="00EB1FAD">
      <w:pPr>
        <w:pStyle w:val="Szvegtrzsbehzssal"/>
        <w:spacing w:after="60"/>
        <w:ind w:left="0"/>
        <w:rPr>
          <w:rFonts w:cs="Tahoma"/>
        </w:rPr>
      </w:pPr>
      <w:r w:rsidRPr="00ED145C">
        <w:rPr>
          <w:rFonts w:cs="Tahoma"/>
        </w:rPr>
        <w:t>INCI</w:t>
      </w:r>
      <w:r>
        <w:rPr>
          <w:rFonts w:cs="Tahoma"/>
        </w:rPr>
        <w:t>-névvel (</w:t>
      </w:r>
      <w:r w:rsidRPr="00ED145C">
        <w:rPr>
          <w:rFonts w:cs="Tahoma"/>
        </w:rPr>
        <w:t>International Nomenclature Cosmetic Ingredients</w:t>
      </w:r>
      <w:r>
        <w:rPr>
          <w:rFonts w:cs="Tahoma"/>
        </w:rPr>
        <w:t>) a termék összetevői az alábbiak:</w:t>
      </w:r>
      <w:r w:rsidRPr="00CD0C31">
        <w:rPr>
          <w:rFonts w:cs="Tahoma"/>
        </w:rPr>
        <w:t xml:space="preserve"> </w:t>
      </w:r>
      <w:r w:rsidRPr="003906FB">
        <w:rPr>
          <w:rFonts w:cs="Tahoma"/>
          <w:b/>
        </w:rPr>
        <w:t>Összetevők/Ingredients:</w:t>
      </w:r>
      <w:r w:rsidRPr="00CD0C31">
        <w:rPr>
          <w:rFonts w:cs="Tahoma"/>
          <w:b/>
        </w:rPr>
        <w:t xml:space="preserve"> </w:t>
      </w:r>
      <w:r w:rsidRPr="00A17E51">
        <w:rPr>
          <w:rFonts w:cs="Tahoma"/>
        </w:rPr>
        <w:t xml:space="preserve">AQUA, SODIUM LAURETH SULFATE, SODIUM CHLORIDE, COCAMIDE DEA, COCAMIDOPROPYL BETAINE, </w:t>
      </w:r>
      <w:r>
        <w:rPr>
          <w:rFonts w:cs="Tahoma"/>
        </w:rPr>
        <w:t xml:space="preserve">PARFUM, </w:t>
      </w:r>
      <w:r w:rsidRPr="00A17E51">
        <w:rPr>
          <w:rFonts w:cs="Tahoma"/>
        </w:rPr>
        <w:t>METHYLCHLOROISOTHIAZOLINONE, METHYLISOTHIAZOLINONE</w:t>
      </w:r>
      <w:r>
        <w:rPr>
          <w:rFonts w:cs="Tahoma"/>
        </w:rPr>
        <w:t xml:space="preserve">, PANTHENOL, </w:t>
      </w:r>
      <w:r w:rsidRPr="00A17E51">
        <w:rPr>
          <w:rFonts w:cs="Tahoma"/>
        </w:rPr>
        <w:t>CITRIC ACID,</w:t>
      </w:r>
      <w:r>
        <w:rPr>
          <w:rFonts w:cs="Tahoma"/>
        </w:rPr>
        <w:t xml:space="preserve"> LINALOOL, HEXAL CINNAMAL</w:t>
      </w:r>
    </w:p>
    <w:p w:rsidR="00A30399" w:rsidRPr="00345EBD" w:rsidRDefault="00A30399" w:rsidP="00A17E51">
      <w:pPr>
        <w:spacing w:before="120"/>
        <w:jc w:val="both"/>
        <w:rPr>
          <w:rFonts w:ascii="Tahoma" w:hAnsi="Tahoma" w:cs="Tahoma"/>
          <w:b/>
        </w:rPr>
      </w:pPr>
      <w:r w:rsidRPr="00345EBD">
        <w:rPr>
          <w:rFonts w:ascii="Tahoma" w:hAnsi="Tahoma" w:cs="Tahoma"/>
          <w:b/>
        </w:rPr>
        <w:t>Figyelmeztetések:</w:t>
      </w:r>
      <w:r w:rsidRPr="00345EBD">
        <w:rPr>
          <w:rFonts w:ascii="Tahoma" w:hAnsi="Tahoma" w:cs="Tahoma"/>
        </w:rPr>
        <w:t xml:space="preserve"> </w:t>
      </w:r>
      <w:r>
        <w:rPr>
          <w:rFonts w:ascii="Tahoma" w:hAnsi="Tahoma" w:cs="Tahoma"/>
        </w:rPr>
        <w:t>Szembe ne kerüljön. Szembe kerülés esetén tiszta meleg vízzel alaposan</w:t>
      </w:r>
      <w:r w:rsidRPr="00345EBD">
        <w:rPr>
          <w:rFonts w:ascii="Tahoma" w:hAnsi="Tahoma" w:cs="Tahoma"/>
        </w:rPr>
        <w:t xml:space="preserve"> öblítsük ki. Fagytól, erős napfénytől óvjuk!</w:t>
      </w:r>
    </w:p>
    <w:p w:rsidR="00A30399" w:rsidRPr="00A17E51" w:rsidRDefault="00A30399" w:rsidP="00376BF5">
      <w:pPr>
        <w:spacing w:before="40"/>
        <w:jc w:val="both"/>
        <w:rPr>
          <w:rFonts w:ascii="Tahoma" w:hAnsi="Tahoma" w:cs="Tahoma"/>
          <w:snapToGrid w:val="0"/>
        </w:rPr>
      </w:pPr>
      <w:r w:rsidRPr="00A17E51">
        <w:rPr>
          <w:rFonts w:ascii="Tahoma" w:hAnsi="Tahoma" w:cs="Tahoma"/>
        </w:rPr>
        <w:t xml:space="preserve">A </w:t>
      </w:r>
      <w:r>
        <w:rPr>
          <w:rFonts w:ascii="Tahoma" w:hAnsi="Tahoma" w:cs="Tahoma"/>
        </w:rPr>
        <w:t xml:space="preserve">termék címkézése </w:t>
      </w:r>
      <w:r w:rsidRPr="00A17E51">
        <w:rPr>
          <w:rFonts w:ascii="Tahoma" w:hAnsi="Tahoma" w:cs="Tahoma"/>
        </w:rPr>
        <w:t>a 1223/2009/EK, a kozmetikai rendelet előírásainak megfelelően</w:t>
      </w:r>
      <w:r>
        <w:rPr>
          <w:rFonts w:ascii="Tahoma" w:hAnsi="Tahoma" w:cs="Tahoma"/>
        </w:rPr>
        <w:t xml:space="preserve"> történik</w:t>
      </w:r>
      <w:r w:rsidRPr="00A17E51">
        <w:rPr>
          <w:rFonts w:ascii="Tahoma" w:hAnsi="Tahoma" w:cs="Tahoma"/>
        </w:rPr>
        <w:t>.</w:t>
      </w:r>
    </w:p>
    <w:p w:rsidR="00A30399" w:rsidRDefault="00A30399"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A30399" w:rsidRDefault="00A30399" w:rsidP="0021392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w:t>
      </w:r>
    </w:p>
    <w:tbl>
      <w:tblPr>
        <w:tblW w:w="9258"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13"/>
        <w:gridCol w:w="1418"/>
        <w:gridCol w:w="3726"/>
        <w:gridCol w:w="101"/>
      </w:tblGrid>
      <w:tr w:rsidR="00A30399" w:rsidRPr="00501707" w:rsidTr="00416C10">
        <w:trPr>
          <w:gridAfter w:val="1"/>
          <w:wAfter w:w="101" w:type="dxa"/>
          <w:cantSplit/>
          <w:trHeight w:val="335"/>
          <w:jc w:val="center"/>
        </w:trPr>
        <w:tc>
          <w:tcPr>
            <w:tcW w:w="4013" w:type="dxa"/>
            <w:vAlign w:val="center"/>
          </w:tcPr>
          <w:p w:rsidR="00A30399" w:rsidRPr="00501707" w:rsidRDefault="00A30399" w:rsidP="00345EBD">
            <w:pPr>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A30399" w:rsidRPr="00501707" w:rsidRDefault="00A30399" w:rsidP="00345EBD">
            <w:pPr>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26" w:type="dxa"/>
            <w:vAlign w:val="center"/>
          </w:tcPr>
          <w:p w:rsidR="00A30399" w:rsidRPr="00501707" w:rsidRDefault="00A30399" w:rsidP="00345EBD">
            <w:pPr>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A30399" w:rsidRPr="00501707" w:rsidRDefault="00A30399" w:rsidP="003654D3">
            <w:pPr>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A30399" w:rsidRPr="00501707" w:rsidTr="00416C10">
        <w:trPr>
          <w:cantSplit/>
          <w:trHeight w:val="335"/>
          <w:jc w:val="center"/>
        </w:trPr>
        <w:tc>
          <w:tcPr>
            <w:tcW w:w="4013" w:type="dxa"/>
            <w:vAlign w:val="center"/>
          </w:tcPr>
          <w:p w:rsidR="00A30399" w:rsidRDefault="00A30399" w:rsidP="009417C1">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Lbjegyzet-hivatkozs"/>
                <w:rFonts w:ascii="Tahoma" w:hAnsi="Tahoma"/>
                <w:snapToGrid w:val="0"/>
                <w:sz w:val="18"/>
                <w:szCs w:val="18"/>
              </w:rPr>
              <w:footnoteReference w:id="1"/>
            </w:r>
          </w:p>
          <w:p w:rsidR="00A30399" w:rsidRPr="00501707" w:rsidRDefault="00A30399" w:rsidP="009417C1">
            <w:pPr>
              <w:tabs>
                <w:tab w:val="left" w:pos="2153"/>
              </w:tabs>
              <w:spacing w:after="20"/>
              <w:ind w:left="57"/>
              <w:rPr>
                <w:rFonts w:ascii="Tahoma" w:hAnsi="Tahoma" w:cs="Tahoma"/>
                <w:b/>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A30399" w:rsidRPr="00501707" w:rsidRDefault="00A30399" w:rsidP="008D6CFF">
            <w:pPr>
              <w:ind w:left="61" w:right="62"/>
              <w:jc w:val="center"/>
              <w:rPr>
                <w:rFonts w:ascii="Tahoma" w:hAnsi="Tahoma" w:cs="Tahoma"/>
                <w:b/>
                <w:snapToGrid w:val="0"/>
                <w:sz w:val="18"/>
                <w:szCs w:val="18"/>
              </w:rPr>
            </w:pPr>
            <w:r>
              <w:rPr>
                <w:rFonts w:ascii="Tahoma" w:hAnsi="Tahoma" w:cs="Tahoma"/>
                <w:snapToGrid w:val="0"/>
                <w:sz w:val="18"/>
                <w:szCs w:val="18"/>
              </w:rPr>
              <w:t>&lt;5%</w:t>
            </w:r>
          </w:p>
        </w:tc>
        <w:tc>
          <w:tcPr>
            <w:tcW w:w="3827" w:type="dxa"/>
            <w:gridSpan w:val="2"/>
            <w:vAlign w:val="center"/>
          </w:tcPr>
          <w:p w:rsidR="00A30399" w:rsidRPr="00501707" w:rsidRDefault="00A30399" w:rsidP="009417C1">
            <w:pPr>
              <w:tabs>
                <w:tab w:val="left" w:pos="650"/>
              </w:tabs>
              <w:spacing w:before="20"/>
              <w:ind w:left="14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A30399" w:rsidRPr="00501707" w:rsidRDefault="00A30399" w:rsidP="00416C10">
            <w:pPr>
              <w:tabs>
                <w:tab w:val="left" w:pos="650"/>
              </w:tabs>
              <w:ind w:left="141"/>
              <w:rPr>
                <w:rFonts w:ascii="Tahoma" w:hAnsi="Tahoma" w:cs="Tahoma"/>
                <w:b/>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A30399" w:rsidRPr="00501707" w:rsidTr="00416C10">
        <w:trPr>
          <w:cantSplit/>
          <w:trHeight w:val="335"/>
          <w:jc w:val="center"/>
        </w:trPr>
        <w:tc>
          <w:tcPr>
            <w:tcW w:w="4013" w:type="dxa"/>
            <w:vAlign w:val="center"/>
          </w:tcPr>
          <w:p w:rsidR="00A30399" w:rsidRPr="00FE18F7" w:rsidRDefault="00A30399"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Lbjegyzet-hivatkozs"/>
                <w:rFonts w:ascii="Tahoma" w:hAnsi="Tahoma"/>
                <w:snapToGrid w:val="0"/>
                <w:sz w:val="18"/>
                <w:szCs w:val="18"/>
              </w:rPr>
              <w:footnoteReference w:id="2"/>
            </w:r>
          </w:p>
          <w:p w:rsidR="00A30399" w:rsidRPr="00585241" w:rsidRDefault="00A30399" w:rsidP="009417C1">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A30399" w:rsidRDefault="00A30399" w:rsidP="002746AC">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827" w:type="dxa"/>
            <w:gridSpan w:val="2"/>
            <w:vAlign w:val="center"/>
          </w:tcPr>
          <w:p w:rsidR="00A30399" w:rsidRPr="008D6CFF" w:rsidRDefault="00A30399" w:rsidP="009417C1">
            <w:pPr>
              <w:tabs>
                <w:tab w:val="left" w:pos="714"/>
              </w:tabs>
              <w:spacing w:before="20"/>
              <w:ind w:left="142"/>
              <w:rPr>
                <w:rFonts w:ascii="Tahoma" w:hAnsi="Tahoma" w:cs="Tahoma"/>
                <w:b/>
                <w:snapToGrid w:val="0"/>
                <w:sz w:val="18"/>
                <w:szCs w:val="18"/>
              </w:rPr>
            </w:pPr>
            <w:r w:rsidRPr="008D6CFF">
              <w:rPr>
                <w:rFonts w:ascii="Tahoma" w:hAnsi="Tahoma" w:cs="Tahoma"/>
                <w:snapToGrid w:val="0"/>
                <w:sz w:val="18"/>
                <w:szCs w:val="18"/>
              </w:rPr>
              <w:t>DSD: Xi, R 38-41</w:t>
            </w:r>
          </w:p>
          <w:p w:rsidR="00A30399" w:rsidRPr="00585241" w:rsidRDefault="00A30399" w:rsidP="00416C10">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r w:rsidR="00A30399" w:rsidRPr="00501707" w:rsidTr="00416C10">
        <w:trPr>
          <w:cantSplit/>
          <w:trHeight w:val="335"/>
          <w:jc w:val="center"/>
        </w:trPr>
        <w:tc>
          <w:tcPr>
            <w:tcW w:w="4013" w:type="dxa"/>
            <w:vAlign w:val="center"/>
          </w:tcPr>
          <w:p w:rsidR="00A30399" w:rsidRDefault="00A30399"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COCAMIDOPROPYL BETAIN</w:t>
            </w:r>
            <w:r>
              <w:rPr>
                <w:rStyle w:val="Lbjegyzet-hivatkozs"/>
                <w:rFonts w:ascii="Tahoma" w:hAnsi="Tahoma"/>
                <w:snapToGrid w:val="0"/>
                <w:sz w:val="18"/>
                <w:szCs w:val="18"/>
              </w:rPr>
              <w:footnoteReference w:id="3"/>
            </w:r>
          </w:p>
          <w:p w:rsidR="00A30399" w:rsidRPr="00FE18F7" w:rsidRDefault="00A30399" w:rsidP="009417C1">
            <w:pPr>
              <w:tabs>
                <w:tab w:val="left" w:pos="2105"/>
              </w:tabs>
              <w:spacing w:after="20"/>
              <w:ind w:left="57"/>
              <w:rPr>
                <w:rFonts w:ascii="Tahoma" w:hAnsi="Tahoma" w:cs="Tahoma"/>
                <w:snapToGrid w:val="0"/>
                <w:sz w:val="18"/>
                <w:szCs w:val="18"/>
              </w:rPr>
            </w:pPr>
            <w:r>
              <w:rPr>
                <w:rFonts w:ascii="Tahoma" w:hAnsi="Tahoma" w:cs="Tahoma"/>
                <w:snapToGrid w:val="0"/>
                <w:sz w:val="18"/>
                <w:szCs w:val="18"/>
              </w:rPr>
              <w:t>CAS-szám: 61789-40-0</w:t>
            </w:r>
            <w:r>
              <w:rPr>
                <w:rFonts w:ascii="Tahoma" w:hAnsi="Tahoma" w:cs="Tahoma"/>
                <w:snapToGrid w:val="0"/>
                <w:sz w:val="18"/>
                <w:szCs w:val="18"/>
              </w:rPr>
              <w:tab/>
              <w:t xml:space="preserve">EU-szám: 931-296-8 </w:t>
            </w:r>
          </w:p>
        </w:tc>
        <w:tc>
          <w:tcPr>
            <w:tcW w:w="1418" w:type="dxa"/>
            <w:vAlign w:val="center"/>
          </w:tcPr>
          <w:p w:rsidR="00A30399" w:rsidRDefault="00A30399" w:rsidP="00416C10">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p>
        </w:tc>
        <w:tc>
          <w:tcPr>
            <w:tcW w:w="3827" w:type="dxa"/>
            <w:gridSpan w:val="2"/>
            <w:vAlign w:val="center"/>
          </w:tcPr>
          <w:p w:rsidR="00A30399" w:rsidRPr="00501707" w:rsidRDefault="00A30399" w:rsidP="009417C1">
            <w:pPr>
              <w:tabs>
                <w:tab w:val="left" w:pos="650"/>
              </w:tabs>
              <w:spacing w:before="20"/>
              <w:ind w:left="14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 xml:space="preserve">Xi, R </w:t>
            </w:r>
            <w:r>
              <w:rPr>
                <w:rFonts w:ascii="Tahoma" w:hAnsi="Tahoma" w:cs="Tahoma"/>
                <w:snapToGrid w:val="0"/>
                <w:sz w:val="18"/>
                <w:szCs w:val="18"/>
              </w:rPr>
              <w:t>41</w:t>
            </w:r>
          </w:p>
          <w:p w:rsidR="00A30399" w:rsidRPr="00CB1331" w:rsidRDefault="00A30399" w:rsidP="00416C10">
            <w:pPr>
              <w:tabs>
                <w:tab w:val="left" w:pos="650"/>
              </w:tabs>
              <w:ind w:left="141"/>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Eye Dam. 1, H318</w:t>
            </w:r>
          </w:p>
        </w:tc>
      </w:tr>
    </w:tbl>
    <w:p w:rsidR="00A30399" w:rsidRPr="00CC1500" w:rsidRDefault="00A30399" w:rsidP="005D6C4F">
      <w:pPr>
        <w:pStyle w:val="Szvegtrzsbehzssal"/>
        <w:spacing w:before="120"/>
        <w:ind w:left="0"/>
      </w:pPr>
      <w:r w:rsidRPr="00CC1500">
        <w:lastRenderedPageBreak/>
        <w:t xml:space="preserve">A gyártó más veszélyes összetevő jelenlétét nem jelzi, egyéb összetevők </w:t>
      </w:r>
      <w:r>
        <w:t xml:space="preserve">(illatanyag-kombináció, tartósítószer, pH-regulátor, sűrítő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A30399" w:rsidRPr="00416C10" w:rsidRDefault="00A30399" w:rsidP="005D6C4F">
      <w:pPr>
        <w:tabs>
          <w:tab w:val="left" w:pos="284"/>
        </w:tabs>
        <w:spacing w:before="40"/>
        <w:jc w:val="both"/>
        <w:rPr>
          <w:rFonts w:ascii="Tahoma" w:hAnsi="Tahoma" w:cs="Tahoma"/>
          <w:snapToGrid w:val="0"/>
          <w:sz w:val="18"/>
          <w:szCs w:val="18"/>
        </w:rPr>
      </w:pPr>
      <w:r w:rsidRPr="00416C10">
        <w:rPr>
          <w:rFonts w:ascii="Tahoma" w:hAnsi="Tahoma"/>
          <w:snapToGrid w:val="0"/>
          <w:sz w:val="18"/>
          <w:szCs w:val="18"/>
        </w:rPr>
        <w:t xml:space="preserve">A </w:t>
      </w:r>
      <w:r w:rsidRPr="00416C10">
        <w:rPr>
          <w:rFonts w:ascii="Tahoma" w:hAnsi="Tahoma" w:cs="Tahoma"/>
          <w:snapToGrid w:val="0"/>
          <w:sz w:val="18"/>
          <w:szCs w:val="18"/>
        </w:rPr>
        <w:t>fenti veszélyjelek és R- és H-mondatok a tiszta komponensekre vonatkoznak, a termék veszélyesség szerinti besorolását a 2. szakasz adja meg. Az R- és H-mondatok teljes szövegét lásd a 16. szakaszban.</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A30399" w:rsidRPr="005B44CE" w:rsidRDefault="00A30399" w:rsidP="00EB1FAD">
      <w:pPr>
        <w:pStyle w:val="Szvegtrzsbehzssal"/>
        <w:spacing w:before="0"/>
        <w:ind w:left="0"/>
      </w:pPr>
      <w:r w:rsidRPr="00E9283B">
        <w:rPr>
          <w:b/>
          <w:bCs/>
        </w:rPr>
        <w:t>4.1. Az elsősegély-nyújtási intézkedések ismertetése</w:t>
      </w:r>
      <w:r>
        <w:rPr>
          <w:b/>
          <w:bCs/>
        </w:rPr>
        <w:t>/</w:t>
      </w:r>
      <w:r>
        <w:rPr>
          <w:b/>
        </w:rPr>
        <w:t xml:space="preserve">Általános </w:t>
      </w:r>
      <w:r w:rsidRPr="005B44CE">
        <w:rPr>
          <w:b/>
        </w:rPr>
        <w:t>tudnivalók:</w:t>
      </w:r>
      <w:r w:rsidRPr="005B44CE">
        <w:t xml:space="preserve"> Eszméletlen vagy görcsös állapotban lévő beteggel folyadékot itatni vagy annál hányást kiváltani nem szabad!</w:t>
      </w:r>
      <w:r>
        <w:t xml:space="preserve"> </w:t>
      </w:r>
    </w:p>
    <w:p w:rsidR="00A30399" w:rsidRDefault="00A30399" w:rsidP="00EB1FAD">
      <w:pPr>
        <w:pStyle w:val="Szvegtrzsbehzssal"/>
        <w:spacing w:before="40"/>
        <w:ind w:left="0"/>
      </w:pPr>
      <w:r w:rsidRPr="005B44CE">
        <w:rPr>
          <w:b/>
        </w:rPr>
        <w:t>Belégzés:</w:t>
      </w:r>
      <w:r>
        <w:t xml:space="preserve"> nem releváns expozíció.</w:t>
      </w:r>
    </w:p>
    <w:p w:rsidR="00A30399" w:rsidRPr="005B44CE" w:rsidRDefault="00A30399" w:rsidP="00EB1FAD">
      <w:pPr>
        <w:pStyle w:val="Szvegtrzsbehzssal"/>
        <w:spacing w:before="40"/>
        <w:ind w:left="0"/>
      </w:pPr>
      <w:r>
        <w:rPr>
          <w:b/>
        </w:rPr>
        <w:t xml:space="preserve">Bőrre jutás: </w:t>
      </w:r>
      <w:r>
        <w:t>a termék a kéz rutinszerű mosására, tisztítására lett kifejlesztve. Használat és véletlenszerű bőrre jutás esetén vízzel öblítsük le.</w:t>
      </w:r>
    </w:p>
    <w:p w:rsidR="00A30399" w:rsidRPr="005B44CE" w:rsidRDefault="00A30399" w:rsidP="00EB1FAD">
      <w:pPr>
        <w:pStyle w:val="Szvegtrzsbehzssal"/>
        <w:spacing w:before="40"/>
        <w:ind w:left="0"/>
      </w:pPr>
      <w:r w:rsidRPr="005B44CE">
        <w:rPr>
          <w:b/>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A30399" w:rsidRPr="005B44CE" w:rsidRDefault="00A30399" w:rsidP="00EB1FAD">
      <w:pPr>
        <w:pStyle w:val="Szvegtrzsbehzssal"/>
        <w:spacing w:before="40"/>
        <w:ind w:left="0"/>
      </w:pPr>
      <w:r w:rsidRPr="005B44CE">
        <w:rPr>
          <w:b/>
        </w:rPr>
        <w:t>Lenyelés esetén:</w:t>
      </w:r>
      <w:r w:rsidRPr="005B44CE">
        <w:t xml:space="preserve"> </w:t>
      </w:r>
      <w:r>
        <w:t>ö</w:t>
      </w:r>
      <w:r w:rsidRPr="005B44CE">
        <w:t>blítsük ki a szájüreget, igyunk vizet. Panaszok esetén forduljunk orvoshoz.</w:t>
      </w:r>
    </w:p>
    <w:p w:rsidR="00A30399" w:rsidRDefault="00A30399" w:rsidP="00EB1FAD">
      <w:pPr>
        <w:pStyle w:val="Szvegtrzsbehzssal"/>
        <w:ind w:left="0" w:right="215"/>
        <w:rPr>
          <w:rFonts w:cs="Tahoma"/>
        </w:rPr>
      </w:pPr>
      <w:r w:rsidRPr="00C43BE6">
        <w:rPr>
          <w:rFonts w:cs="Tahoma"/>
          <w:b/>
        </w:rPr>
        <w:t>4.2. A legfontosabb – akut és késleltetett – tünetek és hatások</w:t>
      </w:r>
      <w:r w:rsidRPr="00C43BE6">
        <w:rPr>
          <w:rFonts w:cs="Tahoma"/>
        </w:rPr>
        <w:t xml:space="preserve">: </w:t>
      </w:r>
      <w:r>
        <w:rPr>
          <w:rFonts w:cs="Tahoma"/>
        </w:rPr>
        <w:t>nem ismert.</w:t>
      </w:r>
    </w:p>
    <w:p w:rsidR="00A30399" w:rsidRPr="00C43BE6" w:rsidRDefault="00A30399" w:rsidP="00EB1FAD">
      <w:pPr>
        <w:pStyle w:val="Szvegtrzsbehzssal"/>
        <w:ind w:left="0" w:right="215"/>
        <w:rPr>
          <w:rFonts w:cs="Tahoma"/>
        </w:rPr>
      </w:pPr>
      <w:r w:rsidRPr="00C43BE6">
        <w:rPr>
          <w:rFonts w:cs="Tahoma"/>
          <w:b/>
        </w:rPr>
        <w:t>4.3. A szükséges azonnali orvosi ellátás és különleges ellátás jelzése</w:t>
      </w:r>
      <w:r>
        <w:rPr>
          <w:rFonts w:cs="Tahoma"/>
          <w:b/>
        </w:rPr>
        <w:t xml:space="preserve">: </w:t>
      </w:r>
      <w:r>
        <w:rPr>
          <w:rFonts w:cs="Tahoma"/>
        </w:rPr>
        <w:t>a</w:t>
      </w:r>
      <w:r w:rsidRPr="00C43BE6">
        <w:rPr>
          <w:rFonts w:cs="Tahoma"/>
        </w:rPr>
        <w:t>mennyiben mérgezési tünetek jelentkeznek, vagy mérgezés gyanúja merül fel, azonnal hívjunk orvost és mutassuk meg a termék címkéjét, ill. biztonsági adatlapját.</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A30399" w:rsidRPr="00AC7263" w:rsidRDefault="00A30399" w:rsidP="00EB1FAD">
      <w:pPr>
        <w:jc w:val="both"/>
        <w:rPr>
          <w:rFonts w:ascii="Tahoma" w:hAnsi="Tahoma"/>
          <w:snapToGrid w:val="0"/>
        </w:rPr>
      </w:pPr>
      <w:r w:rsidRPr="00AC7263">
        <w:rPr>
          <w:rFonts w:ascii="Tahoma" w:hAnsi="Tahoma"/>
          <w:snapToGrid w:val="0"/>
        </w:rPr>
        <w:t>A termék nem tűzveszélyes, nem robbanásveszélyes.</w:t>
      </w:r>
    </w:p>
    <w:p w:rsidR="00A30399" w:rsidRPr="005B44CE" w:rsidRDefault="00A30399" w:rsidP="00AC7263">
      <w:pPr>
        <w:spacing w:before="40"/>
        <w:jc w:val="both"/>
        <w:rPr>
          <w:rFonts w:ascii="Tahoma" w:hAnsi="Tahoma" w:cs="Tahoma"/>
          <w:spacing w:val="-2"/>
        </w:rPr>
      </w:pPr>
      <w:r w:rsidRPr="00E9283B">
        <w:rPr>
          <w:rFonts w:ascii="Tahoma" w:hAnsi="Tahoma"/>
          <w:b/>
          <w:snapToGrid w:val="0"/>
        </w:rPr>
        <w:t xml:space="preserve">5.1. Megfelelő oltóanyag: </w:t>
      </w:r>
      <w:r w:rsidRPr="005B44CE">
        <w:rPr>
          <w:rFonts w:ascii="Tahoma" w:hAnsi="Tahoma" w:cs="Tahoma"/>
          <w:spacing w:val="-2"/>
        </w:rPr>
        <w:t>a környezetben égő anyagok, ill. a primer tűzforrás alapján kell megállapítani.</w:t>
      </w:r>
    </w:p>
    <w:p w:rsidR="00A30399" w:rsidRPr="005B44CE" w:rsidRDefault="00A30399" w:rsidP="00AC7263">
      <w:pPr>
        <w:spacing w:before="40"/>
        <w:ind w:right="215"/>
        <w:jc w:val="both"/>
        <w:rPr>
          <w:rFonts w:ascii="Tahoma" w:hAnsi="Tahoma" w:cs="Tahoma"/>
        </w:rPr>
      </w:pPr>
      <w:r w:rsidRPr="00E9283B">
        <w:rPr>
          <w:rFonts w:ascii="Tahoma" w:hAnsi="Tahoma"/>
          <w:b/>
          <w:snapToGrid w:val="0"/>
        </w:rPr>
        <w:t>5.2. A keverékből származó veszélyek:</w:t>
      </w:r>
      <w:r w:rsidRPr="00A93B5E">
        <w:rPr>
          <w:rFonts w:ascii="Tahoma" w:hAnsi="Tahoma"/>
          <w:snapToGrid w:val="0"/>
        </w:rPr>
        <w:t xml:space="preserve"> </w:t>
      </w:r>
      <w:r>
        <w:rPr>
          <w:rFonts w:ascii="Tahoma" w:hAnsi="Tahoma"/>
          <w:snapToGrid w:val="0"/>
        </w:rPr>
        <w:t xml:space="preserve">tűzben </w:t>
      </w:r>
      <w:r w:rsidRPr="005B44CE">
        <w:rPr>
          <w:rFonts w:ascii="Tahoma" w:hAnsi="Tahoma" w:cs="Tahoma"/>
        </w:rPr>
        <w:t>szén-monoxid, szén-dioxid</w:t>
      </w:r>
      <w:r>
        <w:rPr>
          <w:rFonts w:ascii="Tahoma" w:hAnsi="Tahoma" w:cs="Tahoma"/>
        </w:rPr>
        <w:t xml:space="preserve"> fejlődik.</w:t>
      </w:r>
    </w:p>
    <w:p w:rsidR="00A30399" w:rsidRPr="005B44CE" w:rsidRDefault="00A30399" w:rsidP="00AC7263">
      <w:pPr>
        <w:spacing w:before="40"/>
        <w:ind w:right="215"/>
        <w:jc w:val="both"/>
        <w:rPr>
          <w:rFonts w:ascii="Tahoma" w:hAnsi="Tahoma" w:cs="Tahoma"/>
        </w:rPr>
      </w:pPr>
      <w:r w:rsidRPr="00E9283B">
        <w:rPr>
          <w:rFonts w:ascii="Tahoma" w:hAnsi="Tahoma"/>
          <w:b/>
          <w:snapToGrid w:val="0"/>
        </w:rPr>
        <w:t xml:space="preserve">5.3. Javaslat a tűzoltóknak: </w:t>
      </w:r>
      <w:r w:rsidRPr="005B44CE">
        <w:rPr>
          <w:rFonts w:ascii="Tahoma" w:hAnsi="Tahoma" w:cs="Tahoma"/>
        </w:rPr>
        <w:t xml:space="preserve">egyéni védőfelszerelések, a környezet levegőjétől független légzőkészülék szükséges. </w:t>
      </w:r>
    </w:p>
    <w:p w:rsidR="00A30399" w:rsidRDefault="00A3039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A30399" w:rsidRPr="00AC7263" w:rsidRDefault="00A30399" w:rsidP="00EB1FAD">
      <w:pPr>
        <w:jc w:val="both"/>
        <w:rPr>
          <w:rFonts w:ascii="Tahoma" w:hAnsi="Tahoma" w:cs="Tahoma"/>
          <w:snapToGrid w:val="0"/>
        </w:rPr>
      </w:pPr>
      <w:r w:rsidRPr="00852F11">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C7263">
        <w:rPr>
          <w:rFonts w:ascii="Tahoma" w:hAnsi="Tahoma" w:cs="Tahoma"/>
          <w:snapToGrid w:val="0"/>
        </w:rPr>
        <w:t xml:space="preserve">nagy mennyiségek esetén védőkesztyű, védőszemüveg használata szükséges. </w:t>
      </w:r>
    </w:p>
    <w:p w:rsidR="00A30399" w:rsidRPr="005B44CE" w:rsidRDefault="00A30399" w:rsidP="00EB1FAD">
      <w:pPr>
        <w:jc w:val="both"/>
        <w:rPr>
          <w:rFonts w:ascii="Tahoma" w:hAnsi="Tahoma"/>
        </w:rPr>
      </w:pPr>
      <w:r w:rsidRPr="005B44CE">
        <w:rPr>
          <w:rFonts w:ascii="Tahoma" w:hAnsi="Tahoma" w:cs="Tahoma"/>
          <w:b/>
          <w:snapToGrid w:val="0"/>
        </w:rPr>
        <w:t>Kiömlés esetén:</w:t>
      </w:r>
      <w:r w:rsidRPr="005B44CE">
        <w:rPr>
          <w:rFonts w:ascii="Tahoma" w:hAnsi="Tahoma"/>
        </w:rPr>
        <w:t xml:space="preserve"> </w:t>
      </w:r>
      <w:r>
        <w:rPr>
          <w:rFonts w:ascii="Tahoma" w:hAnsi="Tahoma"/>
          <w:b/>
        </w:rPr>
        <w:t>a</w:t>
      </w:r>
      <w:r w:rsidRPr="005B44CE">
        <w:rPr>
          <w:rFonts w:ascii="Tahoma" w:hAnsi="Tahoma"/>
          <w:b/>
        </w:rPr>
        <w:t xml:space="preserve"> csúszásveszélyre legyünk figyelemmel!</w:t>
      </w:r>
      <w:r w:rsidRPr="005B44CE">
        <w:rPr>
          <w:rFonts w:ascii="Tahoma" w:hAnsi="Tahoma"/>
        </w:rPr>
        <w:t xml:space="preserve"> </w:t>
      </w:r>
    </w:p>
    <w:p w:rsidR="00A30399" w:rsidRDefault="00A30399" w:rsidP="00EB1FAD">
      <w:pPr>
        <w:spacing w:before="60"/>
        <w:jc w:val="both"/>
        <w:rPr>
          <w:rFonts w:ascii="Tahoma" w:hAnsi="Tahoma"/>
        </w:rPr>
      </w:pPr>
      <w:r w:rsidRPr="00852F11">
        <w:rPr>
          <w:rFonts w:ascii="Tahoma" w:hAnsi="Tahoma" w:cs="Tahoma"/>
          <w:b/>
          <w:snapToGrid w:val="0"/>
        </w:rPr>
        <w:t>6.2. Környezetvédelmi óvintézkedések</w:t>
      </w:r>
      <w:r>
        <w:rPr>
          <w:rFonts w:ascii="Tahoma" w:hAnsi="Tahoma" w:cs="Tahoma"/>
          <w:b/>
          <w:snapToGrid w:val="0"/>
        </w:rPr>
        <w:t>:</w:t>
      </w:r>
      <w:r w:rsidRPr="00852F11">
        <w:rPr>
          <w:rFonts w:ascii="Tahoma" w:hAnsi="Tahoma" w:cs="Tahoma"/>
        </w:rPr>
        <w:t xml:space="preserve"> </w:t>
      </w:r>
      <w:r>
        <w:rPr>
          <w:rFonts w:ascii="Tahoma" w:hAnsi="Tahoma"/>
        </w:rPr>
        <w:t>m</w:t>
      </w:r>
      <w:r w:rsidRPr="005B44CE">
        <w:rPr>
          <w:rFonts w:ascii="Tahoma" w:hAnsi="Tahoma"/>
        </w:rPr>
        <w:t>egfelelő óvintézkedése</w:t>
      </w:r>
      <w:smartTag w:uri="urn:schemas-microsoft-com:office:smarttags" w:element="PersonName">
        <w:r w:rsidRPr="005B44CE">
          <w:rPr>
            <w:rFonts w:ascii="Tahoma" w:hAnsi="Tahoma"/>
          </w:rPr>
          <w:t>kk</w:t>
        </w:r>
      </w:smartTag>
      <w:r w:rsidRPr="005B44CE">
        <w:rPr>
          <w:rFonts w:ascii="Tahoma" w:hAnsi="Tahoma"/>
        </w:rPr>
        <w:t>el akadályozzuk meg, hogy a készítmény nagy mennyiségben véletlen kiömlése során a lefolyókba, vízrendszerekbe kerülhessen.</w:t>
      </w:r>
    </w:p>
    <w:p w:rsidR="00A30399" w:rsidRPr="005B44CE" w:rsidRDefault="00A30399" w:rsidP="00EB1FAD">
      <w:pPr>
        <w:spacing w:before="60"/>
        <w:jc w:val="both"/>
        <w:rPr>
          <w:rFonts w:ascii="Tahoma" w:hAnsi="Tahoma"/>
        </w:rPr>
      </w:pPr>
      <w:r w:rsidRPr="00852F11">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rPr>
        <w:t>k</w:t>
      </w:r>
      <w:r w:rsidRPr="005B44CE">
        <w:rPr>
          <w:rFonts w:ascii="Tahoma" w:hAnsi="Tahoma"/>
        </w:rPr>
        <w:t>is mennyiségű kiömlött anyagot nedvszívó anyaggal (rongy, papír) fel kell törölni</w:t>
      </w:r>
      <w:r>
        <w:rPr>
          <w:rFonts w:ascii="Tahoma" w:hAnsi="Tahoma"/>
        </w:rPr>
        <w:t xml:space="preserve"> vagy vízzel leöblíteni</w:t>
      </w:r>
      <w:r w:rsidRPr="005B44CE">
        <w:rPr>
          <w:rFonts w:ascii="Tahoma" w:hAnsi="Tahoma"/>
        </w:rPr>
        <w:t xml:space="preserve">. </w:t>
      </w:r>
      <w:r>
        <w:rPr>
          <w:rFonts w:ascii="Tahoma" w:hAnsi="Tahoma"/>
        </w:rPr>
        <w:t>N</w:t>
      </w:r>
      <w:r w:rsidRPr="005B44CE">
        <w:rPr>
          <w:rFonts w:ascii="Tahoma" w:hAnsi="Tahoma"/>
        </w:rPr>
        <w:t>agy mennyiségű kiömlött anyagot össze kell gyűjteni vagy inert folyadékfelszívó anyaggal (pl. homok, kovaföld, fűrészpor) fel</w:t>
      </w:r>
      <w:r>
        <w:rPr>
          <w:rFonts w:ascii="Tahoma" w:hAnsi="Tahoma"/>
        </w:rPr>
        <w:t xml:space="preserve"> kell </w:t>
      </w:r>
      <w:r w:rsidRPr="005B44CE">
        <w:rPr>
          <w:rFonts w:ascii="Tahoma" w:hAnsi="Tahoma"/>
        </w:rPr>
        <w:t xml:space="preserve">itatni, és a helyi előírásoknak megfelelően megsemmisíteni. </w:t>
      </w:r>
    </w:p>
    <w:p w:rsidR="00A30399" w:rsidRDefault="00A30399" w:rsidP="00EB1FAD">
      <w:pPr>
        <w:spacing w:before="80"/>
        <w:jc w:val="both"/>
        <w:rPr>
          <w:rFonts w:ascii="Tahoma" w:hAnsi="Tahoma" w:cs="Tahoma"/>
        </w:rPr>
      </w:pPr>
      <w:r>
        <w:rPr>
          <w:rFonts w:ascii="Tahoma" w:hAnsi="Tahoma" w:cs="Tahoma"/>
          <w:b/>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A30399" w:rsidRDefault="00A3039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A30399" w:rsidRPr="000E1DD2" w:rsidRDefault="00A30399" w:rsidP="005D6C4F">
      <w:pPr>
        <w:pStyle w:val="Szvegtrzsbehzssal"/>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A padozatra jutva csúszásveszélyt jelent.</w:t>
      </w:r>
    </w:p>
    <w:p w:rsidR="00A30399" w:rsidRPr="00293D58" w:rsidRDefault="00A30399" w:rsidP="005D6C4F">
      <w:pPr>
        <w:pStyle w:val="Szvegtrzsbehzssal"/>
        <w:ind w:left="0"/>
      </w:pPr>
      <w:r w:rsidRPr="008D5244">
        <w:rPr>
          <w:b/>
        </w:rPr>
        <w:t>Tűz- és robbanásvédelem:</w:t>
      </w:r>
      <w:r w:rsidRPr="008D5244">
        <w:t xml:space="preserve"> speciális intézkedés nem szükséges.</w:t>
      </w:r>
    </w:p>
    <w:p w:rsidR="00A30399" w:rsidRPr="0014339B" w:rsidRDefault="00A30399" w:rsidP="005D6C4F">
      <w:pPr>
        <w:pStyle w:val="Szvegtrzsbehzssal"/>
        <w:ind w:left="0"/>
        <w:rPr>
          <w:rFonts w:cs="Tahoma"/>
          <w:b/>
        </w:rPr>
      </w:pPr>
      <w:r w:rsidRPr="0014339B">
        <w:rPr>
          <w:rFonts w:cs="Tahoma"/>
          <w:b/>
        </w:rPr>
        <w:t>7.2. A biztonságos tárolás feltételei, az esetleges összeférhetetlenséggel együtt</w:t>
      </w:r>
    </w:p>
    <w:p w:rsidR="00A30399" w:rsidRDefault="00A30399"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A30399" w:rsidRPr="000E1DD2" w:rsidRDefault="00A30399" w:rsidP="005D6C4F">
      <w:pPr>
        <w:jc w:val="both"/>
        <w:rPr>
          <w:rFonts w:ascii="Tahoma" w:hAnsi="Tahoma" w:cs="Tahoma"/>
        </w:rPr>
      </w:pPr>
      <w:r>
        <w:rPr>
          <w:rFonts w:ascii="Tahoma" w:hAnsi="Tahoma" w:cs="Tahoma"/>
        </w:rPr>
        <w:t>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 </w:t>
      </w:r>
      <w:r w:rsidRPr="00703535">
        <w:rPr>
          <w:rFonts w:ascii="Tahoma" w:hAnsi="Tahoma" w:cs="Tahoma"/>
        </w:rPr>
        <w:t xml:space="preserve">Napfénytől védve, jól lezárva, eredeti csomagolásban, </w:t>
      </w:r>
      <w:r w:rsidRPr="00E1759D">
        <w:rPr>
          <w:rFonts w:ascii="Tahoma" w:hAnsi="Tahoma" w:cs="Tahoma"/>
          <w:bCs/>
        </w:rPr>
        <w:t>fagymentes</w:t>
      </w:r>
      <w:r w:rsidRPr="00703535">
        <w:rPr>
          <w:rFonts w:ascii="Tahoma" w:hAnsi="Tahoma" w:cs="Tahoma"/>
          <w:b/>
          <w:bCs/>
        </w:rPr>
        <w:t xml:space="preserve"> </w:t>
      </w:r>
      <w:r w:rsidRPr="00703535">
        <w:rPr>
          <w:rFonts w:ascii="Tahoma" w:hAnsi="Tahoma" w:cs="Tahoma"/>
        </w:rPr>
        <w:t>helyen tároljuk.</w:t>
      </w:r>
    </w:p>
    <w:p w:rsidR="00A30399" w:rsidRDefault="00A30399" w:rsidP="005D6C4F">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kozmetikum</w:t>
      </w:r>
    </w:p>
    <w:p w:rsidR="00A30399" w:rsidRDefault="00A30399" w:rsidP="00703535">
      <w:pPr>
        <w:keepNext/>
        <w:pageBreakBefore/>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lastRenderedPageBreak/>
        <w:t>8. szakasz: Az expozíció ellenőrzése/egyéni védelem</w:t>
      </w:r>
    </w:p>
    <w:p w:rsidR="00A30399" w:rsidRDefault="00A30399" w:rsidP="005D6C4F">
      <w:pPr>
        <w:pStyle w:val="Szvegtrzsbehzssal"/>
        <w:ind w:left="0"/>
        <w:rPr>
          <w:rFonts w:cs="Tahoma"/>
          <w:b/>
        </w:rPr>
      </w:pPr>
      <w:r w:rsidRPr="006E159B">
        <w:rPr>
          <w:rFonts w:cs="Tahoma"/>
          <w:b/>
        </w:rPr>
        <w:t>8.1. Ellenőrzési paraméterek</w:t>
      </w:r>
    </w:p>
    <w:p w:rsidR="00A30399" w:rsidRDefault="00A30399" w:rsidP="005D6C4F">
      <w:pPr>
        <w:pStyle w:val="Szvegtrzsbehzssal"/>
        <w:ind w:left="0"/>
        <w:rPr>
          <w:rFonts w:cs="Tahoma"/>
        </w:rPr>
      </w:pP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A30399" w:rsidRDefault="00A30399" w:rsidP="00BE341E">
      <w:pPr>
        <w:pStyle w:val="Szvegtrzsbehzssal"/>
        <w:keepNext/>
        <w:spacing w:before="80"/>
        <w:ind w:left="0"/>
        <w:rPr>
          <w:b/>
        </w:rPr>
      </w:pPr>
      <w:r>
        <w:rPr>
          <w:b/>
        </w:rPr>
        <w:t>8.2. Az expozíció ellenőrzése</w:t>
      </w:r>
    </w:p>
    <w:p w:rsidR="00A30399" w:rsidRDefault="00A30399" w:rsidP="005D6C4F">
      <w:pPr>
        <w:pStyle w:val="Szvegtrzsbehzssal"/>
        <w:spacing w:before="0"/>
        <w:ind w:left="0"/>
      </w:pPr>
      <w:r>
        <w:rPr>
          <w:b/>
        </w:rPr>
        <w:t xml:space="preserve">Műszaki intézkedések: </w:t>
      </w:r>
      <w:r>
        <w:t>nem szükséges.</w:t>
      </w:r>
    </w:p>
    <w:p w:rsidR="00A30399" w:rsidRDefault="00A30399" w:rsidP="00C46CAC">
      <w:pPr>
        <w:pStyle w:val="Szvegtrzsbehzssal"/>
        <w:spacing w:before="40"/>
        <w:ind w:left="0"/>
      </w:pPr>
      <w:r>
        <w:rPr>
          <w:b/>
        </w:rPr>
        <w:t xml:space="preserve">Higiéniai intézkedések: </w:t>
      </w:r>
      <w:r>
        <w:t>tartsuk távol élelmiszerektől, italoktól és takarmányoktól.</w:t>
      </w:r>
    </w:p>
    <w:p w:rsidR="00A30399" w:rsidRDefault="00A30399" w:rsidP="005D6C4F">
      <w:pPr>
        <w:pStyle w:val="Szvegtrzsbehzssal"/>
        <w:spacing w:before="80"/>
        <w:ind w:left="0"/>
        <w:rPr>
          <w:b/>
        </w:rPr>
      </w:pPr>
      <w:r w:rsidRPr="00CA2702">
        <w:rPr>
          <w:b/>
        </w:rPr>
        <w:t>Személyi védőfelszerelések</w:t>
      </w:r>
      <w:r>
        <w:rPr>
          <w:b/>
        </w:rPr>
        <w:t>:</w:t>
      </w:r>
    </w:p>
    <w:p w:rsidR="00A30399" w:rsidRDefault="00A30399" w:rsidP="00B12268">
      <w:pPr>
        <w:pStyle w:val="Szvegtrzsbehzssal"/>
        <w:numPr>
          <w:ilvl w:val="0"/>
          <w:numId w:val="30"/>
        </w:numPr>
        <w:tabs>
          <w:tab w:val="clear" w:pos="1701"/>
        </w:tabs>
        <w:spacing w:before="0"/>
        <w:ind w:left="709" w:hanging="283"/>
        <w:rPr>
          <w:rFonts w:cs="Tahoma"/>
        </w:rPr>
      </w:pPr>
      <w:r w:rsidRPr="00874D02">
        <w:rPr>
          <w:rFonts w:cs="Tahoma"/>
          <w:b/>
        </w:rPr>
        <w:t>Légutak védelme:</w:t>
      </w:r>
      <w:r w:rsidRPr="00874D02">
        <w:rPr>
          <w:rFonts w:cs="Tahoma"/>
        </w:rPr>
        <w:t xml:space="preserve"> nem szükséges</w:t>
      </w:r>
      <w:r>
        <w:rPr>
          <w:rFonts w:cs="Tahoma"/>
        </w:rPr>
        <w:t>.</w:t>
      </w:r>
    </w:p>
    <w:p w:rsidR="00A30399" w:rsidRPr="00AC7263" w:rsidRDefault="00A30399" w:rsidP="00B12268">
      <w:pPr>
        <w:pStyle w:val="Szvegtrzsbehzssal"/>
        <w:numPr>
          <w:ilvl w:val="0"/>
          <w:numId w:val="30"/>
        </w:numPr>
        <w:tabs>
          <w:tab w:val="left" w:pos="709"/>
        </w:tabs>
        <w:spacing w:before="40"/>
        <w:ind w:left="709" w:hanging="283"/>
        <w:rPr>
          <w:rFonts w:cs="Tahoma"/>
          <w:b/>
        </w:rPr>
      </w:pPr>
      <w:r w:rsidRPr="00B12268">
        <w:rPr>
          <w:b/>
        </w:rPr>
        <w:t>Szemvédelem:</w:t>
      </w:r>
      <w:r w:rsidRPr="00CA2702">
        <w:t xml:space="preserve"> nem szükséges. </w:t>
      </w:r>
      <w:r>
        <w:t>N</w:t>
      </w:r>
      <w:r w:rsidRPr="00B12268">
        <w:rPr>
          <w:rFonts w:cs="Tahoma"/>
        </w:rPr>
        <w:t>agy mennyiségek kezelése esetén, mentesítéskor védőszemüveg/védőálarc használata ajánlott.</w:t>
      </w:r>
    </w:p>
    <w:p w:rsidR="00A30399" w:rsidRPr="000376BB" w:rsidRDefault="00A30399" w:rsidP="005D6C4F">
      <w:pPr>
        <w:pStyle w:val="Szvegtrzsbehzssal"/>
        <w:tabs>
          <w:tab w:val="clear" w:pos="1701"/>
        </w:tabs>
        <w:spacing w:before="80"/>
        <w:ind w:left="0"/>
        <w:outlineLvl w:val="0"/>
      </w:pPr>
      <w:r>
        <w:rPr>
          <w:rFonts w:cs="Tahoma"/>
          <w:b/>
        </w:rPr>
        <w:t xml:space="preserve">8.3. </w:t>
      </w:r>
      <w:r w:rsidRPr="00E80838">
        <w:rPr>
          <w:rFonts w:cs="Tahoma"/>
          <w:b/>
        </w:rPr>
        <w:t>Környezetvédelem</w:t>
      </w:r>
      <w:r>
        <w:rPr>
          <w:rFonts w:cs="Tahoma"/>
          <w:b/>
        </w:rPr>
        <w:t xml:space="preserve">: </w:t>
      </w:r>
      <w:r w:rsidRPr="000376BB">
        <w:rPr>
          <w:rFonts w:cs="Tahoma"/>
        </w:rPr>
        <w:t>ne engedjük, hogy a hígítatlan termék a csatornába, víztestekbe ju</w:t>
      </w:r>
      <w:r>
        <w:rPr>
          <w:rFonts w:cs="Tahoma"/>
        </w:rPr>
        <w:t>sson</w:t>
      </w:r>
      <w:r w:rsidRPr="000376BB">
        <w:rPr>
          <w:rFonts w:cs="Tahoma"/>
        </w:rPr>
        <w:t xml:space="preserve">. </w:t>
      </w:r>
    </w:p>
    <w:p w:rsidR="00A30399" w:rsidRDefault="00A30399"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A30399" w:rsidRDefault="00A30399" w:rsidP="005D6C4F">
      <w:pPr>
        <w:tabs>
          <w:tab w:val="left" w:pos="1985"/>
        </w:tabs>
        <w:rPr>
          <w:rFonts w:ascii="Tahoma" w:hAnsi="Tahoma"/>
          <w:b/>
          <w:snapToGrid w:val="0"/>
        </w:rPr>
      </w:pPr>
      <w:r>
        <w:rPr>
          <w:rFonts w:ascii="Tahoma" w:hAnsi="Tahoma"/>
          <w:b/>
          <w:snapToGrid w:val="0"/>
        </w:rPr>
        <w:t>9.1. Az alapvető fizikai és kémiai tulajdonságokra vonatkozó információk</w:t>
      </w:r>
    </w:p>
    <w:p w:rsidR="00A30399" w:rsidRDefault="00A30399"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A30399" w:rsidRDefault="00A30399"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színtelen</w:t>
      </w:r>
    </w:p>
    <w:p w:rsidR="00A30399" w:rsidRDefault="00A30399"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A30399" w:rsidRPr="00DE2E56" w:rsidRDefault="00A30399"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A30399" w:rsidRDefault="00A30399"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6 20°C-on </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&gt;</w:t>
      </w:r>
      <w:smartTag w:uri="urn:schemas-microsoft-com:office:smarttags" w:element="metricconverter">
        <w:smartTagPr>
          <w:attr w:name="ProductID" w:val="75°C"/>
        </w:smartTagPr>
        <w:r>
          <w:rPr>
            <w:rFonts w:ascii="Tahoma" w:hAnsi="Tahoma" w:cs="Tahoma"/>
            <w:snapToGrid w:val="0"/>
          </w:rPr>
          <w:t>75°C</w:t>
        </w:r>
      </w:smartTag>
      <w:r>
        <w:rPr>
          <w:rFonts w:ascii="Tahoma" w:hAnsi="Tahoma" w:cs="Tahoma"/>
          <w:snapToGrid w:val="0"/>
        </w:rPr>
        <w:t xml:space="preserve"> becsült érték </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A30399" w:rsidRDefault="00A30399"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A30399" w:rsidRDefault="00A30399"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A30399" w:rsidRDefault="00A30399" w:rsidP="005D6C4F">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120 sec (átfolyási idő)</w:t>
      </w:r>
    </w:p>
    <w:p w:rsidR="00A30399" w:rsidRDefault="00A30399" w:rsidP="005D6C4F">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A30399" w:rsidRDefault="00A3039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A30399" w:rsidRPr="00530275" w:rsidRDefault="00A30399" w:rsidP="005D6C4F">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A30399" w:rsidRPr="00530275" w:rsidRDefault="00A30399" w:rsidP="005D6C4F">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A30399" w:rsidRPr="00D80FB5" w:rsidRDefault="00A30399" w:rsidP="005D6C4F">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A30399" w:rsidRDefault="00A30399" w:rsidP="005D6C4F">
      <w:pPr>
        <w:spacing w:before="40"/>
        <w:rPr>
          <w:rFonts w:ascii="Tahoma" w:hAnsi="Tahoma" w:cs="Tahoma"/>
          <w:b/>
          <w:snapToGrid w:val="0"/>
        </w:rPr>
      </w:pPr>
      <w:r w:rsidRPr="00530275">
        <w:rPr>
          <w:rFonts w:ascii="Tahoma" w:hAnsi="Tahoma" w:cs="Tahoma"/>
          <w:b/>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A30399" w:rsidRDefault="00A30399" w:rsidP="005D6C4F">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A30399" w:rsidRPr="00530275" w:rsidRDefault="00A30399" w:rsidP="005D6C4F">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A30399" w:rsidRDefault="00A30399" w:rsidP="005D6C4F">
      <w:pPr>
        <w:pStyle w:val="Szvegtrzsbehzssal"/>
        <w:spacing w:before="0"/>
        <w:ind w:left="0"/>
      </w:pPr>
      <w:r w:rsidRPr="006F495B">
        <w:rPr>
          <w:b/>
        </w:rPr>
        <w:t>11.1. Toxi</w:t>
      </w:r>
      <w:r>
        <w:rPr>
          <w:b/>
        </w:rPr>
        <w:t>kológiai hatásokra vonatkozó információk</w:t>
      </w:r>
    </w:p>
    <w:p w:rsidR="00A30399" w:rsidRDefault="00A30399" w:rsidP="00B96031">
      <w:pPr>
        <w:pStyle w:val="Szvegtrzsbehzssal"/>
        <w:spacing w:before="20"/>
        <w:ind w:left="0"/>
        <w:rPr>
          <w:rFonts w:cs="Tahoma"/>
        </w:rPr>
      </w:pPr>
      <w:r w:rsidRPr="0018509E">
        <w:rPr>
          <w:rFonts w:cs="Tahoma"/>
        </w:rPr>
        <w:t>A termék összetétele</w:t>
      </w:r>
      <w:r>
        <w:rPr>
          <w:rFonts w:cs="Tahoma"/>
        </w:rPr>
        <w:t xml:space="preserve"> alapján</w:t>
      </w:r>
      <w:r w:rsidRPr="0018509E">
        <w:rPr>
          <w:rFonts w:cs="Tahoma"/>
        </w:rPr>
        <w:t xml:space="preserve">, valamint a rendeltetésszerű felhasználás, az előírásszerű kezelés és tárolás </w:t>
      </w:r>
      <w:r>
        <w:rPr>
          <w:rFonts w:cs="Tahoma"/>
        </w:rPr>
        <w:t>esetén</w:t>
      </w:r>
      <w:r w:rsidRPr="0018509E">
        <w:rPr>
          <w:rFonts w:cs="Tahoma"/>
        </w:rPr>
        <w:t xml:space="preserve"> egészségkárosít</w:t>
      </w:r>
      <w:r>
        <w:rPr>
          <w:rFonts w:cs="Tahoma"/>
        </w:rPr>
        <w:t xml:space="preserve">ó hatás kockázata nem várható az expozíciószámítások, kockázatbecslések, valamint a </w:t>
      </w:r>
      <w:r w:rsidRPr="0018509E">
        <w:rPr>
          <w:rFonts w:cs="Tahoma"/>
        </w:rPr>
        <w:t xml:space="preserve">tapasztalatok </w:t>
      </w:r>
      <w:r>
        <w:rPr>
          <w:rFonts w:cs="Tahoma"/>
        </w:rPr>
        <w:t xml:space="preserve">alapján. </w:t>
      </w:r>
    </w:p>
    <w:p w:rsidR="00A30399" w:rsidRDefault="00A30399" w:rsidP="00B96031">
      <w:pPr>
        <w:pStyle w:val="Szvegtrzsbehzssal"/>
        <w:spacing w:before="20"/>
        <w:ind w:left="0"/>
      </w:pPr>
      <w:r w:rsidRPr="0080057F">
        <w:rPr>
          <w:rFonts w:cs="Tahoma"/>
          <w:color w:val="000000"/>
        </w:rPr>
        <w:t>A termék kozmetikum, megfelel a 1223/2009/EK rendeletnek</w:t>
      </w:r>
      <w:r>
        <w:rPr>
          <w:rFonts w:cs="Tahoma"/>
          <w:color w:val="000000"/>
        </w:rPr>
        <w:t>, a</w:t>
      </w:r>
      <w:r w:rsidRPr="0080057F">
        <w:rPr>
          <w:rFonts w:cs="Tahoma"/>
          <w:color w:val="000000"/>
        </w:rPr>
        <w:t xml:space="preserve"> </w:t>
      </w:r>
      <w:r>
        <w:rPr>
          <w:rFonts w:cs="Tahoma"/>
          <w:color w:val="000000"/>
        </w:rPr>
        <w:t>termékinformációs dokumentációval rendelkezik</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lastRenderedPageBreak/>
        <w:t>12. szakasz: Ökológiai információk</w:t>
      </w:r>
    </w:p>
    <w:p w:rsidR="00A30399" w:rsidRDefault="00A30399" w:rsidP="005D6C4F">
      <w:pPr>
        <w:pStyle w:val="Szvegtrzsbehzssal"/>
        <w:spacing w:before="0"/>
        <w:ind w:left="0"/>
        <w:rPr>
          <w:rFonts w:cs="Tahoma"/>
        </w:rPr>
      </w:pPr>
      <w:r>
        <w:rPr>
          <w:b/>
        </w:rPr>
        <w:t>12.1. Az öko</w:t>
      </w:r>
      <w:r w:rsidRPr="00087B12">
        <w:rPr>
          <w:b/>
        </w:rPr>
        <w:t>toxikológiai hatásokra vonatkozó információ:</w:t>
      </w:r>
      <w:r w:rsidRPr="00087B12">
        <w:t xml:space="preserve"> </w:t>
      </w:r>
      <w:r>
        <w:t>m</w:t>
      </w:r>
      <w:r w:rsidRPr="00783638">
        <w:rPr>
          <w:rFonts w:cs="Tahoma"/>
        </w:rPr>
        <w:t xml:space="preserve">egítélése </w:t>
      </w:r>
      <w:r>
        <w:rPr>
          <w:rFonts w:cs="Tahoma"/>
        </w:rPr>
        <w:t xml:space="preserve">az összetevőkre vonatkozó ökotoxikológiai adatok alapján történt, a termék nem tekintendő a környezetre veszélyes keveréknek. </w:t>
      </w:r>
    </w:p>
    <w:p w:rsidR="00A30399" w:rsidRDefault="00A30399" w:rsidP="004A2824">
      <w:pPr>
        <w:pStyle w:val="Szvegtrzsbehzssal"/>
        <w:spacing w:before="4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A30399" w:rsidRDefault="00A30399" w:rsidP="004A2824">
      <w:pPr>
        <w:pStyle w:val="Szvegtrzsbehzssal2"/>
        <w:spacing w:before="40"/>
        <w:ind w:left="0"/>
        <w:rPr>
          <w:rFonts w:cs="Tahoma"/>
          <w:b/>
        </w:rPr>
      </w:pPr>
      <w:r w:rsidRPr="001A71E5">
        <w:rPr>
          <w:rFonts w:cs="Tahoma"/>
          <w:b/>
        </w:rPr>
        <w:t>12.</w:t>
      </w:r>
      <w:r>
        <w:rPr>
          <w:rFonts w:cs="Tahoma"/>
          <w:b/>
        </w:rPr>
        <w:t>3</w:t>
      </w:r>
      <w:r w:rsidRPr="001A71E5">
        <w:rPr>
          <w:rFonts w:cs="Tahoma"/>
          <w:b/>
        </w:rPr>
        <w:t xml:space="preserve">. </w:t>
      </w:r>
      <w:r>
        <w:rPr>
          <w:rFonts w:cs="Tahoma"/>
          <w:b/>
        </w:rPr>
        <w:t xml:space="preserve">Bioakkumulációs képesség: </w:t>
      </w:r>
      <w:r w:rsidRPr="008C34D8">
        <w:rPr>
          <w:rFonts w:cs="Tahoma"/>
        </w:rPr>
        <w:t>nem jellemző</w:t>
      </w:r>
      <w:r>
        <w:rPr>
          <w:rFonts w:cs="Tahoma"/>
        </w:rPr>
        <w:t>.</w:t>
      </w:r>
    </w:p>
    <w:p w:rsidR="00A30399" w:rsidRDefault="00A30399" w:rsidP="004A2824">
      <w:pPr>
        <w:pStyle w:val="Szvegtrzsbehzssal2"/>
        <w:spacing w:before="40"/>
        <w:ind w:left="0"/>
      </w:pPr>
      <w:r w:rsidRPr="00ED5636">
        <w:rPr>
          <w:b/>
          <w:bCs/>
        </w:rPr>
        <w:t>12.</w:t>
      </w:r>
      <w:r>
        <w:rPr>
          <w:b/>
          <w:bCs/>
        </w:rPr>
        <w:t>4</w:t>
      </w:r>
      <w:r w:rsidRPr="00ED5636">
        <w:rPr>
          <w:b/>
          <w:bCs/>
        </w:rPr>
        <w:t>. A talajban való mobilitás:</w:t>
      </w:r>
      <w:r>
        <w:t xml:space="preserve"> nincs adat.</w:t>
      </w:r>
    </w:p>
    <w:p w:rsidR="00A30399" w:rsidRDefault="00A30399" w:rsidP="004A2824">
      <w:pPr>
        <w:pStyle w:val="Szvegtrzsbehzssal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nincs adat.</w:t>
      </w:r>
    </w:p>
    <w:p w:rsidR="00A30399" w:rsidRPr="001A71E5" w:rsidRDefault="00A30399" w:rsidP="004A2824">
      <w:pPr>
        <w:pStyle w:val="Szvegtrzsbehzssal2"/>
        <w:spacing w:before="4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w:t>
      </w:r>
      <w:r>
        <w:rPr>
          <w:rFonts w:cs="Tahoma"/>
        </w:rPr>
        <w:t>.</w:t>
      </w:r>
      <w:r w:rsidRPr="001A71E5">
        <w:rPr>
          <w:rFonts w:cs="Tahoma"/>
        </w:rPr>
        <w:t xml:space="preserve"> </w:t>
      </w:r>
    </w:p>
    <w:p w:rsidR="00A30399" w:rsidRDefault="00A30399"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A30399" w:rsidRDefault="00A30399" w:rsidP="005D6C4F">
      <w:pPr>
        <w:pStyle w:val="Szvegtrzsbehzssal"/>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p>
    <w:p w:rsidR="00A30399" w:rsidRDefault="00A30399" w:rsidP="005D6C4F">
      <w:pPr>
        <w:pStyle w:val="Szvegtrzsbehzssal"/>
        <w:spacing w:before="0"/>
        <w:ind w:left="0"/>
        <w:rPr>
          <w:rFonts w:cs="Tahoma"/>
        </w:rPr>
      </w:pP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A30399" w:rsidRDefault="00A30399" w:rsidP="005D6C4F">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A30399" w:rsidRDefault="00A30399"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A30399" w:rsidRPr="001F6E55" w:rsidRDefault="00A30399" w:rsidP="005D6C4F">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A30399" w:rsidRPr="001F6E55" w:rsidRDefault="00A30399"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A30399" w:rsidRDefault="00A30399" w:rsidP="005D6C4F">
      <w:pPr>
        <w:pStyle w:val="Szvegtrzsbehzssal"/>
        <w:ind w:left="0"/>
      </w:pPr>
      <w:r w:rsidRPr="00AF549D">
        <w:rPr>
          <w:rFonts w:cs="Tahoma"/>
        </w:rPr>
        <w:t xml:space="preserve">A </w:t>
      </w:r>
      <w:r w:rsidRPr="00AF549D">
        <w:t>csomagolási hulladékkal kapcsolatos hulladékgazdálkodási tevékenységet a 442/2012. (XII.29.) Kormányrendelet szabályozza.</w:t>
      </w:r>
    </w:p>
    <w:p w:rsidR="00A30399" w:rsidRDefault="00A30399"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A30399" w:rsidRPr="007E27A7" w:rsidRDefault="00A30399" w:rsidP="005D6C4F">
      <w:pPr>
        <w:pStyle w:val="Szvegtrzsbehzssal"/>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A30399" w:rsidRDefault="00A30399" w:rsidP="005D6C4F">
      <w:pPr>
        <w:pStyle w:val="Szvegtrzsbehzssal"/>
        <w:ind w:left="0"/>
        <w:rPr>
          <w:b/>
        </w:rPr>
      </w:pPr>
      <w:r>
        <w:rPr>
          <w:b/>
        </w:rPr>
        <w:t>15.1. A keverékkel kapcsolatos biztonsági, egészségügyi és környezetvédelmi előírások/jogszabályok</w:t>
      </w:r>
    </w:p>
    <w:p w:rsidR="00A30399" w:rsidRDefault="00A30399" w:rsidP="005D6C4F">
      <w:pPr>
        <w:pStyle w:val="Szvegtrzsbehzssal"/>
        <w:keepNext/>
        <w:widowControl w:val="0"/>
        <w:spacing w:before="80"/>
        <w:ind w:left="0"/>
        <w:rPr>
          <w:b/>
        </w:rPr>
      </w:pPr>
      <w:r>
        <w:rPr>
          <w:b/>
        </w:rPr>
        <w:t>Vonatkozó közösségi joganyagok</w:t>
      </w:r>
    </w:p>
    <w:p w:rsidR="00A30399" w:rsidRPr="00A77A0F" w:rsidRDefault="00A30399" w:rsidP="00A77A0F">
      <w:pPr>
        <w:pStyle w:val="Szvegtrzsbehzssal"/>
        <w:tabs>
          <w:tab w:val="clear" w:pos="1701"/>
        </w:tabs>
        <w:spacing w:before="40"/>
        <w:ind w:left="0"/>
        <w:rPr>
          <w:rStyle w:val="Kiemels2"/>
          <w:rFonts w:cs="Tahoma"/>
        </w:rPr>
      </w:pPr>
      <w:r w:rsidRPr="00A77A0F">
        <w:rPr>
          <w:rStyle w:val="Kiemels2"/>
          <w:rFonts w:cs="Tahoma"/>
        </w:rPr>
        <w:t xml:space="preserve">Az Európai Parlament és a Tanács </w:t>
      </w:r>
      <w:hyperlink r:id="rId7" w:history="1">
        <w:r w:rsidRPr="00A77A0F">
          <w:rPr>
            <w:rStyle w:val="Kiemels2"/>
            <w:bCs w:val="0"/>
          </w:rPr>
          <w:t>1223/2009 EK rendelete</w:t>
        </w:r>
      </w:hyperlink>
      <w:r w:rsidRPr="00A77A0F">
        <w:rPr>
          <w:rStyle w:val="Kiemels2"/>
          <w:rFonts w:cs="Tahoma"/>
        </w:rPr>
        <w:t xml:space="preserve"> (2009. november 30.) a kozmetikai termékekről módosításai</w:t>
      </w:r>
    </w:p>
    <w:p w:rsidR="00A30399" w:rsidRDefault="00A30399" w:rsidP="00A77A0F">
      <w:pPr>
        <w:pStyle w:val="Szvegtrzsbehzssal"/>
        <w:ind w:left="0"/>
      </w:pPr>
      <w:r w:rsidRPr="00A229DB">
        <w:t>REACH rendelet</w:t>
      </w:r>
      <w:r>
        <w:t xml:space="preserve">: </w:t>
      </w:r>
      <w:r w:rsidRPr="00A229DB">
        <w:t>1907/2006/EK és módosításai</w:t>
      </w:r>
    </w:p>
    <w:p w:rsidR="00A30399" w:rsidRPr="00A229DB" w:rsidRDefault="00A30399" w:rsidP="005D6C4F">
      <w:pPr>
        <w:pStyle w:val="Szvegtrzsbehzssal"/>
        <w:spacing w:before="0"/>
        <w:ind w:left="0"/>
      </w:pPr>
      <w:r w:rsidRPr="00A229DB">
        <w:t>CLP-rendelet: 1272/2008/EK és módosításai</w:t>
      </w:r>
    </w:p>
    <w:p w:rsidR="00A30399" w:rsidRDefault="00A30399" w:rsidP="005D6C4F">
      <w:pPr>
        <w:pStyle w:val="Szvegtrzsbehzssal"/>
        <w:spacing w:before="0"/>
        <w:ind w:left="0"/>
      </w:pPr>
      <w:r w:rsidRPr="00A229DB">
        <w:t xml:space="preserve">DSD és DPD-irányelv: 67/548/EGK és 1999/45/EK és módosításai </w:t>
      </w:r>
    </w:p>
    <w:p w:rsidR="00A30399" w:rsidRPr="008D4C21" w:rsidRDefault="00A30399" w:rsidP="005D6C4F">
      <w:pPr>
        <w:pStyle w:val="Szvegtrzsbehzssal"/>
        <w:keepNext/>
        <w:widowControl w:val="0"/>
        <w:spacing w:before="80"/>
        <w:ind w:left="0"/>
        <w:rPr>
          <w:rFonts w:cs="Tahoma"/>
          <w:b/>
        </w:rPr>
      </w:pPr>
      <w:r w:rsidRPr="008D4C21">
        <w:rPr>
          <w:rFonts w:cs="Tahoma"/>
          <w:b/>
        </w:rPr>
        <w:t>Vonatkozó nemzeti joganyagok</w:t>
      </w:r>
    </w:p>
    <w:p w:rsidR="00A30399" w:rsidRPr="00A77A0F" w:rsidRDefault="00A50A4A" w:rsidP="005D6C4F">
      <w:pPr>
        <w:pStyle w:val="Szvegtrzsbehzssal"/>
        <w:spacing w:before="40"/>
        <w:ind w:left="1701" w:hanging="1701"/>
        <w:rPr>
          <w:rStyle w:val="Kiemels2"/>
          <w:rFonts w:cs="Tahoma"/>
        </w:rPr>
      </w:pPr>
      <w:hyperlink r:id="rId8" w:history="1">
        <w:r w:rsidR="00A30399" w:rsidRPr="00A77A0F">
          <w:rPr>
            <w:rStyle w:val="Hiperhivatkozs"/>
            <w:rFonts w:cs="Tahoma"/>
            <w:b/>
            <w:bCs/>
            <w:color w:val="auto"/>
            <w:u w:val="none"/>
          </w:rPr>
          <w:t>246/2013. (VII.2.)</w:t>
        </w:r>
      </w:hyperlink>
      <w:r w:rsidR="00A30399" w:rsidRPr="00A77A0F">
        <w:rPr>
          <w:rStyle w:val="Kiemels2"/>
          <w:rFonts w:cs="Tahoma"/>
        </w:rPr>
        <w:t xml:space="preserve"> Kormányrendelet a kozmetikai termékekről</w:t>
      </w:r>
    </w:p>
    <w:p w:rsidR="00A30399" w:rsidRPr="008D4C21" w:rsidRDefault="00A30399" w:rsidP="005D6C4F">
      <w:pPr>
        <w:pStyle w:val="Szvegtrzsbehzssal"/>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A30399" w:rsidRPr="008D4C21" w:rsidRDefault="00A30399" w:rsidP="005D6C4F">
      <w:pPr>
        <w:pStyle w:val="Szvegtrzsbehzssal"/>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A30399" w:rsidRPr="008D4C21" w:rsidRDefault="00A30399" w:rsidP="00AC7263">
      <w:pPr>
        <w:pStyle w:val="Szvegtrzsbehzssal"/>
        <w:pageBreakBefore/>
        <w:spacing w:before="40"/>
        <w:ind w:left="1701" w:hanging="1701"/>
        <w:rPr>
          <w:rFonts w:cs="Tahoma"/>
        </w:rPr>
      </w:pPr>
      <w:r w:rsidRPr="00965F5E">
        <w:rPr>
          <w:rFonts w:cs="Tahoma"/>
          <w:spacing w:val="-4"/>
        </w:rPr>
        <w:lastRenderedPageBreak/>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A30399" w:rsidRPr="008D4C21" w:rsidRDefault="00A30399" w:rsidP="005D6C4F">
      <w:pPr>
        <w:pStyle w:val="Szvegtrzsbehzssal"/>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A30399" w:rsidRPr="00CA61B2" w:rsidRDefault="00A30399" w:rsidP="005D6C4F">
      <w:pPr>
        <w:pStyle w:val="Szvegtrzsbehzssal"/>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A30399" w:rsidRDefault="00A30399"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A30399" w:rsidRDefault="00A30399" w:rsidP="005D6C4F">
      <w:pPr>
        <w:pStyle w:val="Szvegtrzsbehzssal"/>
        <w:spacing w:before="0"/>
        <w:ind w:left="0"/>
        <w:rPr>
          <w:rFonts w:cs="Tahoma"/>
        </w:rPr>
      </w:pPr>
      <w:r w:rsidRPr="00EC0BAC">
        <w:rPr>
          <w:rFonts w:cs="Tahoma"/>
        </w:rPr>
        <w:t xml:space="preserve">Az adatlap a termék normál körülmények között történő felhasználására és kezelésére vonatkozó információkat tartalmazza. </w:t>
      </w:r>
    </w:p>
    <w:p w:rsidR="00A30399" w:rsidRDefault="00A30399" w:rsidP="005D6C4F">
      <w:pPr>
        <w:pStyle w:val="Szvegtrzsbehzssal"/>
        <w:spacing w:before="0"/>
        <w:ind w:left="0"/>
        <w:rPr>
          <w:rFonts w:cs="Tahoma"/>
        </w:rPr>
      </w:pPr>
      <w:r w:rsidRPr="00EC0BAC">
        <w:rPr>
          <w:rFonts w:cs="Tahoma"/>
        </w:rPr>
        <w:t xml:space="preserve">Minden olyan alkalmazás esetén, amikor a terméket más anyaggal elegyítik, illetve olyan eljárásokat alkalmaznak, amelyek nem felelnek meg az adatlapban foglaltaknak, a teljes felelősség a felhasználót terheli. </w:t>
      </w:r>
    </w:p>
    <w:p w:rsidR="00A30399" w:rsidRDefault="00A30399" w:rsidP="005D6C4F">
      <w:pPr>
        <w:pStyle w:val="Szvegtrzsbehzssal"/>
        <w:spacing w:before="0"/>
        <w:ind w:left="0"/>
        <w:rPr>
          <w:rFonts w:cs="Tahoma"/>
        </w:rPr>
      </w:pPr>
      <w:r w:rsidRPr="00EC0BAC">
        <w:rPr>
          <w:rFonts w:cs="Tahoma"/>
        </w:rPr>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A30399" w:rsidRDefault="00A30399" w:rsidP="005D6C4F">
      <w:pPr>
        <w:pStyle w:val="Szvegtrzsbehzssal"/>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A30399" w:rsidRDefault="00A30399" w:rsidP="00C46CAC">
      <w:pPr>
        <w:pStyle w:val="Szvegtrzsbehzssal"/>
        <w:ind w:left="0"/>
        <w:rPr>
          <w:rFonts w:cs="Tahoma"/>
          <w:b/>
        </w:rPr>
      </w:pPr>
      <w:r>
        <w:rPr>
          <w:rFonts w:cs="Tahoma"/>
          <w:b/>
        </w:rPr>
        <w:t xml:space="preserve">16.1. </w:t>
      </w:r>
      <w:r w:rsidRPr="003C3065">
        <w:rPr>
          <w:rFonts w:cs="Tahoma"/>
          <w:b/>
        </w:rPr>
        <w:t xml:space="preserve">A </w:t>
      </w:r>
      <w:r>
        <w:rPr>
          <w:rFonts w:cs="Tahoma"/>
          <w:b/>
        </w:rPr>
        <w:t xml:space="preserve">2. és a </w:t>
      </w:r>
      <w:r w:rsidRPr="003C3065">
        <w:rPr>
          <w:rFonts w:cs="Tahoma"/>
          <w:b/>
        </w:rPr>
        <w:t xml:space="preserve">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A30399" w:rsidRDefault="00A30399" w:rsidP="00AC7263">
      <w:pPr>
        <w:pStyle w:val="Szvegtrzsbehzssal"/>
        <w:tabs>
          <w:tab w:val="left" w:pos="851"/>
          <w:tab w:val="left" w:pos="1276"/>
        </w:tabs>
        <w:spacing w:before="40" w:after="60"/>
        <w:ind w:left="0" w:firstLine="425"/>
        <w:rPr>
          <w:b/>
        </w:rPr>
      </w:pPr>
      <w:r>
        <w:rPr>
          <w:rFonts w:cs="Tahoma"/>
        </w:rPr>
        <w:t>Xi: Irritatív</w:t>
      </w:r>
    </w:p>
    <w:p w:rsidR="00A30399" w:rsidRDefault="00A30399" w:rsidP="005D6C4F">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A30399" w:rsidRDefault="00A30399" w:rsidP="005D6C4F">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A30399" w:rsidRPr="00706F49" w:rsidRDefault="00A30399" w:rsidP="005D6C4F">
      <w:pPr>
        <w:tabs>
          <w:tab w:val="left" w:pos="1100"/>
        </w:tabs>
        <w:spacing w:before="120"/>
        <w:jc w:val="both"/>
        <w:rPr>
          <w:rFonts w:ascii="Tahoma" w:hAnsi="Tahoma" w:cs="Tahoma"/>
          <w:snapToGrid w:val="0"/>
        </w:rPr>
      </w:pPr>
      <w:r w:rsidRPr="00706F49">
        <w:rPr>
          <w:rFonts w:ascii="Tahoma" w:hAnsi="Tahoma" w:cs="Tahoma"/>
          <w:snapToGrid w:val="0"/>
        </w:rPr>
        <w:t xml:space="preserve">A CLP-veszélyosztályok rövidítései, a rövidítések utáni (1-4) számok, az osztályon belüli kategóriát jelölik meg, a nagyobb számok kisebb veszélyt jelentenek: </w:t>
      </w:r>
    </w:p>
    <w:p w:rsidR="00A30399" w:rsidRPr="00706F49" w:rsidRDefault="00A30399" w:rsidP="005D6C4F">
      <w:pPr>
        <w:pStyle w:val="Szvegtrzsbehzssal"/>
        <w:tabs>
          <w:tab w:val="left" w:pos="851"/>
        </w:tabs>
        <w:spacing w:before="0"/>
        <w:ind w:left="0"/>
        <w:rPr>
          <w:rFonts w:cs="Tahoma"/>
        </w:rPr>
      </w:pPr>
      <w:r w:rsidRPr="00706F49">
        <w:rPr>
          <w:rFonts w:cs="Tahoma"/>
        </w:rPr>
        <w:t>Skin Irrit.: bőrirritáció; Eye Dam.: szemkárosító hatás</w:t>
      </w:r>
    </w:p>
    <w:p w:rsidR="00A30399" w:rsidRPr="001F10D6" w:rsidRDefault="00A30399" w:rsidP="005D6C4F">
      <w:pPr>
        <w:pStyle w:val="Szvegtrzsbehzssal"/>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A30399" w:rsidRDefault="00A30399" w:rsidP="005D6C4F">
      <w:pPr>
        <w:pStyle w:val="Szvegtrzsbehzssal"/>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A30399" w:rsidRPr="005C0EFB" w:rsidRDefault="00A30399" w:rsidP="005D6C4F">
      <w:pPr>
        <w:tabs>
          <w:tab w:val="left" w:pos="0"/>
          <w:tab w:val="left" w:pos="1134"/>
        </w:tabs>
        <w:autoSpaceDE w:val="0"/>
        <w:autoSpaceDN w:val="0"/>
        <w:adjustRightInd w:val="0"/>
        <w:spacing w:before="120"/>
        <w:jc w:val="both"/>
        <w:rPr>
          <w:rFonts w:ascii="Tahoma" w:hAnsi="Tahoma" w:cs="Tahoma"/>
          <w:snapToGrid w:val="0"/>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május 30-án.</w:t>
      </w:r>
    </w:p>
    <w:sectPr w:rsidR="00A30399" w:rsidRPr="005C0EFB" w:rsidSect="008056B9">
      <w:headerReference w:type="default" r:id="rId9"/>
      <w:headerReference w:type="first" r:id="rId10"/>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C6" w:rsidRDefault="008A6FC6">
      <w:r>
        <w:separator/>
      </w:r>
    </w:p>
  </w:endnote>
  <w:endnote w:type="continuationSeparator" w:id="0">
    <w:p w:rsidR="008A6FC6" w:rsidRDefault="008A6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Simplified Arabic Fixed">
    <w:charset w:val="00"/>
    <w:family w:val="modern"/>
    <w:pitch w:val="fixed"/>
    <w:sig w:usb0="00002003" w:usb1="00000000" w:usb2="00000000" w:usb3="00000000" w:csb0="00000041"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C6" w:rsidRDefault="008A6FC6">
      <w:r>
        <w:separator/>
      </w:r>
    </w:p>
  </w:footnote>
  <w:footnote w:type="continuationSeparator" w:id="0">
    <w:p w:rsidR="008A6FC6" w:rsidRDefault="008A6FC6">
      <w:r>
        <w:continuationSeparator/>
      </w:r>
    </w:p>
  </w:footnote>
  <w:footnote w:id="1">
    <w:p w:rsidR="00A30399" w:rsidRDefault="00A30399">
      <w:pPr>
        <w:pStyle w:val="Lbjegyzetszveg"/>
      </w:pPr>
      <w:r w:rsidRPr="008307A1">
        <w:rPr>
          <w:rStyle w:val="Lbjegyzet-hivatkozs"/>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2">
    <w:p w:rsidR="00A30399" w:rsidRDefault="00A30399">
      <w:pPr>
        <w:pStyle w:val="Lbjegyzetszveg"/>
      </w:pPr>
      <w:r w:rsidRPr="008307A1">
        <w:rPr>
          <w:rStyle w:val="Lbjegyzet-hivatkozs"/>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3">
    <w:p w:rsidR="00A30399" w:rsidRDefault="00A30399">
      <w:pPr>
        <w:pStyle w:val="Lbjegyzetszveg"/>
      </w:pPr>
      <w:r w:rsidRPr="008307A1">
        <w:rPr>
          <w:rStyle w:val="Lbjegyzet-hivatkozs"/>
          <w:rFonts w:ascii="Tahoma" w:hAnsi="Tahoma" w:cs="Tahoma"/>
          <w:sz w:val="16"/>
          <w:szCs w:val="16"/>
        </w:rPr>
        <w:footnoteRef/>
      </w:r>
      <w:r w:rsidRPr="008307A1">
        <w:rPr>
          <w:rFonts w:ascii="Tahoma" w:hAnsi="Tahoma" w:cs="Tahoma"/>
          <w:sz w:val="16"/>
          <w:szCs w:val="16"/>
        </w:rPr>
        <w:t xml:space="preserve"> 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99" w:rsidRDefault="007F1D37"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8240"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A30399">
      <w:rPr>
        <w:rFonts w:ascii="Tahoma" w:hAnsi="Tahoma" w:cs="Tahoma"/>
        <w:noProof/>
        <w:sz w:val="14"/>
        <w:szCs w:val="14"/>
      </w:rPr>
      <w:t>Lorin folyékon szappan – antistress</w:t>
    </w:r>
    <w:r w:rsidR="00A30399">
      <w:rPr>
        <w:rFonts w:ascii="Tahoma" w:hAnsi="Tahoma" w:cs="Tahoma"/>
        <w:noProof/>
        <w:sz w:val="14"/>
        <w:szCs w:val="14"/>
      </w:rPr>
      <w:tab/>
    </w:r>
  </w:p>
  <w:p w:rsidR="00A30399" w:rsidRDefault="00A30399"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A30399" w:rsidRDefault="00A30399"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Kiadva 2015. május 30.</w:t>
    </w:r>
    <w:r>
      <w:rPr>
        <w:rFonts w:ascii="Tahoma" w:hAnsi="Tahoma" w:cs="Tahoma"/>
        <w:noProof/>
        <w:sz w:val="14"/>
        <w:szCs w:val="14"/>
      </w:rPr>
      <w:tab/>
    </w:r>
    <w:r w:rsidR="00A50A4A">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A50A4A">
      <w:rPr>
        <w:rStyle w:val="Oldalszm"/>
        <w:rFonts w:ascii="Tahoma" w:hAnsi="Tahoma" w:cs="Tahoma"/>
        <w:sz w:val="14"/>
        <w:szCs w:val="14"/>
      </w:rPr>
      <w:fldChar w:fldCharType="separate"/>
    </w:r>
    <w:r w:rsidR="007F1D37">
      <w:rPr>
        <w:rStyle w:val="Oldalszm"/>
        <w:rFonts w:ascii="Tahoma" w:hAnsi="Tahoma" w:cs="Tahoma"/>
        <w:noProof/>
        <w:sz w:val="14"/>
        <w:szCs w:val="14"/>
      </w:rPr>
      <w:t>1</w:t>
    </w:r>
    <w:r w:rsidR="00A50A4A">
      <w:rPr>
        <w:rStyle w:val="Oldalszm"/>
        <w:rFonts w:ascii="Tahoma" w:hAnsi="Tahoma" w:cs="Tahoma"/>
        <w:sz w:val="14"/>
        <w:szCs w:val="14"/>
      </w:rPr>
      <w:fldChar w:fldCharType="end"/>
    </w:r>
    <w:r>
      <w:rPr>
        <w:rStyle w:val="Oldalszm"/>
        <w:rFonts w:ascii="Tahoma" w:hAnsi="Tahoma" w:cs="Tahoma"/>
        <w:sz w:val="14"/>
        <w:szCs w:val="14"/>
      </w:rPr>
      <w:t>/</w:t>
    </w:r>
    <w:r w:rsidR="00A50A4A">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A50A4A">
      <w:rPr>
        <w:rStyle w:val="Oldalszm"/>
        <w:rFonts w:ascii="Tahoma" w:hAnsi="Tahoma" w:cs="Tahoma"/>
        <w:sz w:val="14"/>
        <w:szCs w:val="14"/>
      </w:rPr>
      <w:fldChar w:fldCharType="separate"/>
    </w:r>
    <w:r w:rsidR="007F1D37">
      <w:rPr>
        <w:rStyle w:val="Oldalszm"/>
        <w:rFonts w:ascii="Tahoma" w:hAnsi="Tahoma" w:cs="Tahoma"/>
        <w:noProof/>
        <w:sz w:val="14"/>
        <w:szCs w:val="14"/>
      </w:rPr>
      <w:t>5</w:t>
    </w:r>
    <w:r w:rsidR="00A50A4A">
      <w:rPr>
        <w:rStyle w:val="Oldalszm"/>
        <w:rFonts w:ascii="Tahoma" w:hAnsi="Tahoma" w:cs="Tahoma"/>
        <w:sz w:val="14"/>
        <w:szCs w:val="14"/>
      </w:rPr>
      <w:fldChar w:fldCharType="end"/>
    </w:r>
    <w:r>
      <w:rPr>
        <w:rStyle w:val="Oldalszm"/>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99" w:rsidRDefault="007F1D37" w:rsidP="00626A8E">
    <w:pPr>
      <w:pStyle w:val="lfej"/>
      <w:tabs>
        <w:tab w:val="clear" w:pos="9072"/>
        <w:tab w:val="right" w:pos="9639"/>
      </w:tabs>
    </w:pPr>
    <w:r>
      <w:rPr>
        <w:noProof/>
      </w:rPr>
      <w:drawing>
        <wp:anchor distT="0" distB="0" distL="114300" distR="114300" simplePos="0" relativeHeight="251657216" behindDoc="1" locked="0" layoutInCell="1" allowOverlap="1">
          <wp:simplePos x="0" y="0"/>
          <wp:positionH relativeFrom="column">
            <wp:posOffset>-151130</wp:posOffset>
          </wp:positionH>
          <wp:positionV relativeFrom="paragraph">
            <wp:posOffset>-151130</wp:posOffset>
          </wp:positionV>
          <wp:extent cx="1030605" cy="721360"/>
          <wp:effectExtent l="19050" t="0" r="0" b="0"/>
          <wp:wrapThrough wrapText="bothSides">
            <wp:wrapPolygon edited="0">
              <wp:start x="-399" y="0"/>
              <wp:lineTo x="-399" y="21106"/>
              <wp:lineTo x="21560" y="21106"/>
              <wp:lineTo x="21560" y="0"/>
              <wp:lineTo x="-399" y="0"/>
            </wp:wrapPolygon>
          </wp:wrapThrough>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
                  <a:srcRect/>
                  <a:stretch>
                    <a:fillRect/>
                  </a:stretch>
                </pic:blipFill>
                <pic:spPr bwMode="auto">
                  <a:xfrm>
                    <a:off x="0" y="0"/>
                    <a:ext cx="1030605" cy="721360"/>
                  </a:xfrm>
                  <a:prstGeom prst="rect">
                    <a:avLst/>
                  </a:prstGeom>
                  <a:noFill/>
                </pic:spPr>
              </pic:pic>
            </a:graphicData>
          </a:graphic>
        </wp:anchor>
      </w:drawing>
    </w:r>
    <w:r w:rsidR="00A30399">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11"/>
  </w:num>
  <w:num w:numId="11">
    <w:abstractNumId w:val="7"/>
  </w:num>
  <w:num w:numId="12">
    <w:abstractNumId w:val="21"/>
  </w:num>
  <w:num w:numId="13">
    <w:abstractNumId w:val="19"/>
  </w:num>
  <w:num w:numId="14">
    <w:abstractNumId w:val="22"/>
  </w:num>
  <w:num w:numId="15">
    <w:abstractNumId w:val="17"/>
  </w:num>
  <w:num w:numId="16">
    <w:abstractNumId w:val="3"/>
  </w:num>
  <w:num w:numId="17">
    <w:abstractNumId w:val="12"/>
  </w:num>
  <w:num w:numId="18">
    <w:abstractNumId w:val="6"/>
  </w:num>
  <w:num w:numId="19">
    <w:abstractNumId w:val="2"/>
  </w:num>
  <w:num w:numId="20">
    <w:abstractNumId w:val="15"/>
  </w:num>
  <w:num w:numId="21">
    <w:abstractNumId w:val="8"/>
  </w:num>
  <w:num w:numId="22">
    <w:abstractNumId w:val="14"/>
  </w:num>
  <w:num w:numId="23">
    <w:abstractNumId w:val="4"/>
  </w:num>
  <w:num w:numId="24">
    <w:abstractNumId w:val="20"/>
  </w:num>
  <w:num w:numId="25">
    <w:abstractNumId w:val="9"/>
  </w:num>
  <w:num w:numId="26">
    <w:abstractNumId w:val="23"/>
  </w:num>
  <w:num w:numId="27">
    <w:abstractNumId w:val="13"/>
  </w:num>
  <w:num w:numId="28">
    <w:abstractNumId w:val="1"/>
  </w:num>
  <w:num w:numId="29">
    <w:abstractNumId w:val="18"/>
  </w:num>
  <w:num w:numId="30">
    <w:abstractNumId w:val="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67AD"/>
    <w:rsid w:val="00037104"/>
    <w:rsid w:val="000376BB"/>
    <w:rsid w:val="00040A53"/>
    <w:rsid w:val="00051389"/>
    <w:rsid w:val="00052853"/>
    <w:rsid w:val="00054727"/>
    <w:rsid w:val="00054FA8"/>
    <w:rsid w:val="000568BF"/>
    <w:rsid w:val="00060AEA"/>
    <w:rsid w:val="00077F0C"/>
    <w:rsid w:val="00080769"/>
    <w:rsid w:val="00080C9B"/>
    <w:rsid w:val="00084965"/>
    <w:rsid w:val="0008511E"/>
    <w:rsid w:val="00087B12"/>
    <w:rsid w:val="00090B0D"/>
    <w:rsid w:val="00097A4E"/>
    <w:rsid w:val="000A03A4"/>
    <w:rsid w:val="000A17CF"/>
    <w:rsid w:val="000A1905"/>
    <w:rsid w:val="000A36D7"/>
    <w:rsid w:val="000B03BD"/>
    <w:rsid w:val="000B35E5"/>
    <w:rsid w:val="000C05BE"/>
    <w:rsid w:val="000C1EB0"/>
    <w:rsid w:val="000C570C"/>
    <w:rsid w:val="000C6C21"/>
    <w:rsid w:val="000D0B10"/>
    <w:rsid w:val="000E1DD2"/>
    <w:rsid w:val="000E4A43"/>
    <w:rsid w:val="000E51C7"/>
    <w:rsid w:val="000F0E73"/>
    <w:rsid w:val="00100203"/>
    <w:rsid w:val="001007CD"/>
    <w:rsid w:val="00101AF6"/>
    <w:rsid w:val="00102AFA"/>
    <w:rsid w:val="001063D0"/>
    <w:rsid w:val="001179C0"/>
    <w:rsid w:val="0012223F"/>
    <w:rsid w:val="00123D5E"/>
    <w:rsid w:val="00124467"/>
    <w:rsid w:val="001244DF"/>
    <w:rsid w:val="0013230F"/>
    <w:rsid w:val="0014339B"/>
    <w:rsid w:val="0015371B"/>
    <w:rsid w:val="001555B4"/>
    <w:rsid w:val="00155BA0"/>
    <w:rsid w:val="001610D0"/>
    <w:rsid w:val="00172A90"/>
    <w:rsid w:val="00173BF9"/>
    <w:rsid w:val="0017621F"/>
    <w:rsid w:val="00176539"/>
    <w:rsid w:val="00182763"/>
    <w:rsid w:val="0018509E"/>
    <w:rsid w:val="001866BA"/>
    <w:rsid w:val="001875AB"/>
    <w:rsid w:val="00187932"/>
    <w:rsid w:val="00193395"/>
    <w:rsid w:val="00196D8C"/>
    <w:rsid w:val="001A4626"/>
    <w:rsid w:val="001A6D1E"/>
    <w:rsid w:val="001A71A9"/>
    <w:rsid w:val="001A71E5"/>
    <w:rsid w:val="001B5B76"/>
    <w:rsid w:val="001C5776"/>
    <w:rsid w:val="001C77FE"/>
    <w:rsid w:val="001D1A25"/>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CD2"/>
    <w:rsid w:val="00247F47"/>
    <w:rsid w:val="002566AD"/>
    <w:rsid w:val="00260DEE"/>
    <w:rsid w:val="00262FEC"/>
    <w:rsid w:val="002654A2"/>
    <w:rsid w:val="002746AC"/>
    <w:rsid w:val="00280409"/>
    <w:rsid w:val="00290594"/>
    <w:rsid w:val="00292877"/>
    <w:rsid w:val="00293D58"/>
    <w:rsid w:val="00295615"/>
    <w:rsid w:val="002A037D"/>
    <w:rsid w:val="002A09C5"/>
    <w:rsid w:val="002A3760"/>
    <w:rsid w:val="002B06F6"/>
    <w:rsid w:val="002B5B34"/>
    <w:rsid w:val="002B6409"/>
    <w:rsid w:val="002B6BE7"/>
    <w:rsid w:val="002C56A6"/>
    <w:rsid w:val="002C6EA5"/>
    <w:rsid w:val="002E743C"/>
    <w:rsid w:val="002E7A9F"/>
    <w:rsid w:val="00301D81"/>
    <w:rsid w:val="003073B5"/>
    <w:rsid w:val="0031732B"/>
    <w:rsid w:val="00317726"/>
    <w:rsid w:val="00322095"/>
    <w:rsid w:val="00323E34"/>
    <w:rsid w:val="0033006D"/>
    <w:rsid w:val="00332A1C"/>
    <w:rsid w:val="00332AD1"/>
    <w:rsid w:val="00333685"/>
    <w:rsid w:val="00334B0F"/>
    <w:rsid w:val="0034100E"/>
    <w:rsid w:val="00345EBD"/>
    <w:rsid w:val="0034660F"/>
    <w:rsid w:val="00351516"/>
    <w:rsid w:val="00356E1F"/>
    <w:rsid w:val="003606C6"/>
    <w:rsid w:val="003628FA"/>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5DA1"/>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4E62"/>
    <w:rsid w:val="00425CBF"/>
    <w:rsid w:val="004264D3"/>
    <w:rsid w:val="00430026"/>
    <w:rsid w:val="00431337"/>
    <w:rsid w:val="00431571"/>
    <w:rsid w:val="0043535C"/>
    <w:rsid w:val="004373B1"/>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178B"/>
    <w:rsid w:val="004A2824"/>
    <w:rsid w:val="004A3E0B"/>
    <w:rsid w:val="004A5315"/>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4CB6"/>
    <w:rsid w:val="00527C81"/>
    <w:rsid w:val="005301DB"/>
    <w:rsid w:val="005301DC"/>
    <w:rsid w:val="00530275"/>
    <w:rsid w:val="00546D71"/>
    <w:rsid w:val="0055089F"/>
    <w:rsid w:val="00553B6A"/>
    <w:rsid w:val="005545FB"/>
    <w:rsid w:val="00562764"/>
    <w:rsid w:val="0056484A"/>
    <w:rsid w:val="00570043"/>
    <w:rsid w:val="005818AB"/>
    <w:rsid w:val="0058246F"/>
    <w:rsid w:val="00585241"/>
    <w:rsid w:val="005906FB"/>
    <w:rsid w:val="00590BE6"/>
    <w:rsid w:val="0059673E"/>
    <w:rsid w:val="00596E7B"/>
    <w:rsid w:val="005A11A7"/>
    <w:rsid w:val="005A1937"/>
    <w:rsid w:val="005A27F0"/>
    <w:rsid w:val="005A453F"/>
    <w:rsid w:val="005B44CE"/>
    <w:rsid w:val="005C0EFB"/>
    <w:rsid w:val="005C358B"/>
    <w:rsid w:val="005C3AF3"/>
    <w:rsid w:val="005C3B1E"/>
    <w:rsid w:val="005C50EE"/>
    <w:rsid w:val="005D6C4F"/>
    <w:rsid w:val="005E6B01"/>
    <w:rsid w:val="005F482D"/>
    <w:rsid w:val="00603B9F"/>
    <w:rsid w:val="00611589"/>
    <w:rsid w:val="00615561"/>
    <w:rsid w:val="00615A76"/>
    <w:rsid w:val="00616803"/>
    <w:rsid w:val="0062027F"/>
    <w:rsid w:val="00623045"/>
    <w:rsid w:val="00626A8E"/>
    <w:rsid w:val="00630FE0"/>
    <w:rsid w:val="00632BAE"/>
    <w:rsid w:val="00641A4C"/>
    <w:rsid w:val="00642786"/>
    <w:rsid w:val="0064496A"/>
    <w:rsid w:val="0065223B"/>
    <w:rsid w:val="00653031"/>
    <w:rsid w:val="006553AB"/>
    <w:rsid w:val="006608A9"/>
    <w:rsid w:val="006608CB"/>
    <w:rsid w:val="006657B2"/>
    <w:rsid w:val="006660B2"/>
    <w:rsid w:val="00670F3E"/>
    <w:rsid w:val="006711FD"/>
    <w:rsid w:val="0067132A"/>
    <w:rsid w:val="0067487F"/>
    <w:rsid w:val="00675D5C"/>
    <w:rsid w:val="00682C9C"/>
    <w:rsid w:val="00683C20"/>
    <w:rsid w:val="00683C91"/>
    <w:rsid w:val="0068681B"/>
    <w:rsid w:val="00696C6B"/>
    <w:rsid w:val="006A2F2A"/>
    <w:rsid w:val="006A3E07"/>
    <w:rsid w:val="006B0DCF"/>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03535"/>
    <w:rsid w:val="00706F49"/>
    <w:rsid w:val="00710AEF"/>
    <w:rsid w:val="007127E8"/>
    <w:rsid w:val="0071479E"/>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82"/>
    <w:rsid w:val="007D619B"/>
    <w:rsid w:val="007D7BBA"/>
    <w:rsid w:val="007E27A7"/>
    <w:rsid w:val="007E40C9"/>
    <w:rsid w:val="007E4261"/>
    <w:rsid w:val="007E705C"/>
    <w:rsid w:val="007F0B8B"/>
    <w:rsid w:val="007F1D37"/>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A6FC6"/>
    <w:rsid w:val="008B2804"/>
    <w:rsid w:val="008B4EC6"/>
    <w:rsid w:val="008B5418"/>
    <w:rsid w:val="008C12C9"/>
    <w:rsid w:val="008C34D8"/>
    <w:rsid w:val="008C4891"/>
    <w:rsid w:val="008C7181"/>
    <w:rsid w:val="008D01FE"/>
    <w:rsid w:val="008D4C21"/>
    <w:rsid w:val="008D5244"/>
    <w:rsid w:val="008D6CFF"/>
    <w:rsid w:val="008D7110"/>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17C1"/>
    <w:rsid w:val="00947868"/>
    <w:rsid w:val="00954020"/>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325F"/>
    <w:rsid w:val="009B39F9"/>
    <w:rsid w:val="009B6108"/>
    <w:rsid w:val="009B6199"/>
    <w:rsid w:val="009B6461"/>
    <w:rsid w:val="009C0503"/>
    <w:rsid w:val="009C09DF"/>
    <w:rsid w:val="009C1D9A"/>
    <w:rsid w:val="009C70CF"/>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30399"/>
    <w:rsid w:val="00A31F9B"/>
    <w:rsid w:val="00A401CB"/>
    <w:rsid w:val="00A416E1"/>
    <w:rsid w:val="00A41880"/>
    <w:rsid w:val="00A45E7A"/>
    <w:rsid w:val="00A46CA8"/>
    <w:rsid w:val="00A50A4A"/>
    <w:rsid w:val="00A51C5B"/>
    <w:rsid w:val="00A53D17"/>
    <w:rsid w:val="00A54F27"/>
    <w:rsid w:val="00A57DB9"/>
    <w:rsid w:val="00A64DCE"/>
    <w:rsid w:val="00A66495"/>
    <w:rsid w:val="00A70C8D"/>
    <w:rsid w:val="00A734DB"/>
    <w:rsid w:val="00A7737B"/>
    <w:rsid w:val="00A775F0"/>
    <w:rsid w:val="00A77A0F"/>
    <w:rsid w:val="00A8502F"/>
    <w:rsid w:val="00A86173"/>
    <w:rsid w:val="00A87126"/>
    <w:rsid w:val="00A87712"/>
    <w:rsid w:val="00A9075B"/>
    <w:rsid w:val="00A93B5E"/>
    <w:rsid w:val="00A95D64"/>
    <w:rsid w:val="00AA0405"/>
    <w:rsid w:val="00AA1742"/>
    <w:rsid w:val="00AA60AB"/>
    <w:rsid w:val="00AB2586"/>
    <w:rsid w:val="00AB2599"/>
    <w:rsid w:val="00AC0DC5"/>
    <w:rsid w:val="00AC1515"/>
    <w:rsid w:val="00AC23A3"/>
    <w:rsid w:val="00AC33DA"/>
    <w:rsid w:val="00AC3D92"/>
    <w:rsid w:val="00AC4DF2"/>
    <w:rsid w:val="00AC50E5"/>
    <w:rsid w:val="00AC7263"/>
    <w:rsid w:val="00AD1532"/>
    <w:rsid w:val="00AD5077"/>
    <w:rsid w:val="00AF4925"/>
    <w:rsid w:val="00AF549D"/>
    <w:rsid w:val="00B0111B"/>
    <w:rsid w:val="00B029F4"/>
    <w:rsid w:val="00B110D7"/>
    <w:rsid w:val="00B11DFE"/>
    <w:rsid w:val="00B12268"/>
    <w:rsid w:val="00B15377"/>
    <w:rsid w:val="00B158D1"/>
    <w:rsid w:val="00B234DF"/>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658E"/>
    <w:rsid w:val="00BB27A1"/>
    <w:rsid w:val="00BB384B"/>
    <w:rsid w:val="00BB54E4"/>
    <w:rsid w:val="00BB6162"/>
    <w:rsid w:val="00BB7FA4"/>
    <w:rsid w:val="00BC6500"/>
    <w:rsid w:val="00BD5A87"/>
    <w:rsid w:val="00BE081B"/>
    <w:rsid w:val="00BE25BE"/>
    <w:rsid w:val="00BE341E"/>
    <w:rsid w:val="00BF3606"/>
    <w:rsid w:val="00BF66F4"/>
    <w:rsid w:val="00BF7BA9"/>
    <w:rsid w:val="00C04831"/>
    <w:rsid w:val="00C04E08"/>
    <w:rsid w:val="00C110D4"/>
    <w:rsid w:val="00C11815"/>
    <w:rsid w:val="00C124FE"/>
    <w:rsid w:val="00C168CB"/>
    <w:rsid w:val="00C21451"/>
    <w:rsid w:val="00C21AC3"/>
    <w:rsid w:val="00C23633"/>
    <w:rsid w:val="00C24E0F"/>
    <w:rsid w:val="00C2528D"/>
    <w:rsid w:val="00C27D51"/>
    <w:rsid w:val="00C33E54"/>
    <w:rsid w:val="00C40BD7"/>
    <w:rsid w:val="00C43BE6"/>
    <w:rsid w:val="00C44FD3"/>
    <w:rsid w:val="00C455CB"/>
    <w:rsid w:val="00C46CAC"/>
    <w:rsid w:val="00C50C6F"/>
    <w:rsid w:val="00C54589"/>
    <w:rsid w:val="00C60722"/>
    <w:rsid w:val="00C624AC"/>
    <w:rsid w:val="00C6520D"/>
    <w:rsid w:val="00C66674"/>
    <w:rsid w:val="00C66CE8"/>
    <w:rsid w:val="00C7218F"/>
    <w:rsid w:val="00C73E21"/>
    <w:rsid w:val="00C84C27"/>
    <w:rsid w:val="00C86C3C"/>
    <w:rsid w:val="00C934BE"/>
    <w:rsid w:val="00CA2702"/>
    <w:rsid w:val="00CA4144"/>
    <w:rsid w:val="00CA5BA2"/>
    <w:rsid w:val="00CA61B2"/>
    <w:rsid w:val="00CB0228"/>
    <w:rsid w:val="00CB1331"/>
    <w:rsid w:val="00CB20D4"/>
    <w:rsid w:val="00CC1500"/>
    <w:rsid w:val="00CC3606"/>
    <w:rsid w:val="00CD0C31"/>
    <w:rsid w:val="00CE305A"/>
    <w:rsid w:val="00CE5C6D"/>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80FB5"/>
    <w:rsid w:val="00D84722"/>
    <w:rsid w:val="00D849A1"/>
    <w:rsid w:val="00D86E64"/>
    <w:rsid w:val="00D87FC1"/>
    <w:rsid w:val="00DA561D"/>
    <w:rsid w:val="00DB3428"/>
    <w:rsid w:val="00DB5F8A"/>
    <w:rsid w:val="00DB641D"/>
    <w:rsid w:val="00DD46D4"/>
    <w:rsid w:val="00DD5C0B"/>
    <w:rsid w:val="00DE2E56"/>
    <w:rsid w:val="00DE486D"/>
    <w:rsid w:val="00DE4DB5"/>
    <w:rsid w:val="00DE5CDE"/>
    <w:rsid w:val="00E00766"/>
    <w:rsid w:val="00E00CCB"/>
    <w:rsid w:val="00E07B80"/>
    <w:rsid w:val="00E10416"/>
    <w:rsid w:val="00E146B2"/>
    <w:rsid w:val="00E1759D"/>
    <w:rsid w:val="00E21ECB"/>
    <w:rsid w:val="00E22B4C"/>
    <w:rsid w:val="00E315E8"/>
    <w:rsid w:val="00E3448A"/>
    <w:rsid w:val="00E42A31"/>
    <w:rsid w:val="00E47017"/>
    <w:rsid w:val="00E50F8F"/>
    <w:rsid w:val="00E54B17"/>
    <w:rsid w:val="00E56AF6"/>
    <w:rsid w:val="00E65A3F"/>
    <w:rsid w:val="00E65D49"/>
    <w:rsid w:val="00E67F4C"/>
    <w:rsid w:val="00E709EB"/>
    <w:rsid w:val="00E80838"/>
    <w:rsid w:val="00E81507"/>
    <w:rsid w:val="00E84E02"/>
    <w:rsid w:val="00E8777E"/>
    <w:rsid w:val="00E878DA"/>
    <w:rsid w:val="00E9283B"/>
    <w:rsid w:val="00E934D1"/>
    <w:rsid w:val="00E93F74"/>
    <w:rsid w:val="00EA76D7"/>
    <w:rsid w:val="00EA7B2A"/>
    <w:rsid w:val="00EB1FAD"/>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57C8E"/>
    <w:rsid w:val="00F60EC3"/>
    <w:rsid w:val="00F61E74"/>
    <w:rsid w:val="00F6242D"/>
    <w:rsid w:val="00F640E1"/>
    <w:rsid w:val="00F73C6D"/>
    <w:rsid w:val="00F9588C"/>
    <w:rsid w:val="00FB0B78"/>
    <w:rsid w:val="00FB624F"/>
    <w:rsid w:val="00FC45D1"/>
    <w:rsid w:val="00FC5EDD"/>
    <w:rsid w:val="00FD4F82"/>
    <w:rsid w:val="00FD7BF2"/>
    <w:rsid w:val="00FD7D82"/>
    <w:rsid w:val="00FE18F7"/>
    <w:rsid w:val="00FE2CC0"/>
    <w:rsid w:val="00FE33B3"/>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uiPriority w:val="99"/>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uiPriority w:val="99"/>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 w:type="character" w:styleId="Kiemels2">
    <w:name w:val="Strong"/>
    <w:basedOn w:val="Bekezdsalapbettpusa"/>
    <w:uiPriority w:val="99"/>
    <w:qFormat/>
    <w:locked/>
    <w:rsid w:val="00C66CE8"/>
    <w:rPr>
      <w:rFonts w:cs="Times New Roman"/>
      <w:b/>
      <w:bCs/>
    </w:rPr>
  </w:style>
  <w:style w:type="character" w:customStyle="1" w:styleId="apple-converted-space">
    <w:name w:val="apple-converted-space"/>
    <w:basedOn w:val="Bekezdsalapbettpusa"/>
    <w:uiPriority w:val="99"/>
    <w:rsid w:val="00C66C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1576.244361" TargetMode="External"/><Relationship Id="rId3" Type="http://schemas.openxmlformats.org/officeDocument/2006/relationships/settings" Target="settings.xml"/><Relationship Id="rId7" Type="http://schemas.openxmlformats.org/officeDocument/2006/relationships/hyperlink" Target="http://eur-lex.europa.eu/legal-content/HU/TXT/PDF/?uri=CELEX:02009R1223-20140829&amp;qid=1426458180811&amp;from=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11683</Characters>
  <Application>Microsoft Office Word</Application>
  <DocSecurity>0</DocSecurity>
  <Lines>97</Lines>
  <Paragraphs>26</Paragraphs>
  <ScaleCrop>false</ScaleCrop>
  <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2015-08-06T07:44:00Z</dcterms:created>
  <dcterms:modified xsi:type="dcterms:W3CDTF">2015-08-06T07:44:00Z</dcterms:modified>
</cp:coreProperties>
</file>